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9BBCE4D"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5644931"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007E12" w:rsidR="00E66558" w:rsidRDefault="0084406B">
            <w:pPr>
              <w:pStyle w:val="TableRow"/>
            </w:pPr>
            <w:r>
              <w:t xml:space="preserve">Tanners Brook Primary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4B7481A" w:rsidR="00E66558" w:rsidRDefault="003D2D34">
            <w:pPr>
              <w:pStyle w:val="TableRow"/>
            </w:pPr>
            <w:r>
              <w:t>4</w:t>
            </w:r>
            <w:r w:rsidR="004C73FF">
              <w:t>1</w:t>
            </w:r>
            <w:r w:rsidR="009C417C">
              <w:t>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BBC919B" w:rsidR="00E66558" w:rsidRDefault="00890A76">
            <w:pPr>
              <w:pStyle w:val="TableRow"/>
            </w:pPr>
            <w:r>
              <w:t>3</w:t>
            </w:r>
            <w:r w:rsidR="009C417C">
              <w:t>2.2</w:t>
            </w:r>
            <w:proofErr w:type="gramStart"/>
            <w:r w:rsidR="00D428BD">
              <w:t>%</w:t>
            </w:r>
            <w:r w:rsidR="009C417C">
              <w:t xml:space="preserve">  (</w:t>
            </w:r>
            <w:proofErr w:type="gramEnd"/>
            <w:r w:rsidR="009C417C">
              <w:t>134</w:t>
            </w:r>
            <w:r w:rsidR="00455E18">
              <w:t xml:space="preserve"> children)</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6F9B45A" w:rsidR="00E66558" w:rsidRDefault="003F0506">
            <w:pPr>
              <w:pStyle w:val="TableRow"/>
            </w:pPr>
            <w:r>
              <w:t>2021-</w:t>
            </w:r>
            <w:r w:rsidR="009951E0">
              <w:t>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CE9435C" w:rsidR="00E66558" w:rsidRDefault="00635D2E">
            <w:pPr>
              <w:pStyle w:val="TableRow"/>
            </w:pPr>
            <w:r>
              <w:t>1</w:t>
            </w:r>
            <w:r w:rsidR="006C0B72">
              <w:t>st</w:t>
            </w:r>
            <w:r w:rsidR="00EF4A14">
              <w:t xml:space="preserve"> December</w:t>
            </w:r>
            <w:r w:rsidR="00A5651F">
              <w:t xml:space="preserve">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69A9D04" w:rsidR="00E66558" w:rsidRDefault="006C0B72">
            <w:pPr>
              <w:pStyle w:val="TableRow"/>
            </w:pPr>
            <w:r>
              <w:t>30th November</w:t>
            </w:r>
            <w:r w:rsidR="00694AD5">
              <w:t xml:space="preserve">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8C9D" w14:textId="77777777" w:rsidR="00E66558" w:rsidRDefault="00694AD5">
            <w:pPr>
              <w:pStyle w:val="TableRow"/>
            </w:pPr>
            <w:r>
              <w:t>Ingrid Dowse</w:t>
            </w:r>
          </w:p>
          <w:p w14:paraId="2A7D54CB" w14:textId="551DDB2E" w:rsidR="00804E25" w:rsidRDefault="00804E25">
            <w:pPr>
              <w:pStyle w:val="TableRow"/>
            </w:pPr>
            <w:r>
              <w:t>Head of School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FF0C0A4" w:rsidR="00E66558" w:rsidRDefault="00694AD5">
            <w:pPr>
              <w:pStyle w:val="TableRow"/>
            </w:pPr>
            <w:r>
              <w:t>Lisa Welch</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0B1D8D6" w:rsidR="00E66558" w:rsidRDefault="00593FEC">
            <w:pPr>
              <w:pStyle w:val="TableRow"/>
            </w:pPr>
            <w:r>
              <w:t>Stacey Woods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6937C57" w:rsidR="00E66558" w:rsidRDefault="009D71E8">
            <w:pPr>
              <w:pStyle w:val="TableRow"/>
            </w:pPr>
            <w:r>
              <w:t>£</w:t>
            </w:r>
            <w:r w:rsidR="00853DA2">
              <w:t>147,950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6ABDAB3" w:rsidR="00E66558" w:rsidRDefault="009D71E8">
            <w:pPr>
              <w:pStyle w:val="TableRow"/>
            </w:pPr>
            <w:r>
              <w:t>£</w:t>
            </w:r>
            <w:r w:rsidR="00853DA2">
              <w:t>18,012</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E2A9500" w:rsidR="00E66558" w:rsidRDefault="009D71E8">
            <w:pPr>
              <w:pStyle w:val="TableRow"/>
            </w:pPr>
            <w:r>
              <w:t>£</w:t>
            </w:r>
            <w:r w:rsidR="00E419E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0ED57F4" w:rsidR="00E66558" w:rsidRDefault="009D71E8">
            <w:pPr>
              <w:pStyle w:val="TableRow"/>
            </w:pPr>
            <w:r>
              <w:t>£</w:t>
            </w:r>
            <w:r w:rsidR="00E603DB">
              <w:t>147,000 (£5000 allocation of non-staffing)</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3110" w14:textId="04086D7A" w:rsidR="001B06E2" w:rsidRDefault="00466C5D" w:rsidP="005278CE">
            <w:pPr>
              <w:spacing w:before="120"/>
              <w:rPr>
                <w:i/>
                <w:iCs/>
              </w:rPr>
            </w:pPr>
            <w:r>
              <w:rPr>
                <w:i/>
                <w:iCs/>
              </w:rPr>
              <w:t>Our intention is that all pupils, irrespective of their background</w:t>
            </w:r>
            <w:r w:rsidR="0012259C">
              <w:rPr>
                <w:i/>
                <w:iCs/>
              </w:rPr>
              <w:t xml:space="preserve"> or the challenges they face, make good progress and achieve high attainment across ALL subject areas.</w:t>
            </w:r>
            <w:r w:rsidR="00943AB0">
              <w:rPr>
                <w:i/>
                <w:iCs/>
              </w:rPr>
              <w:t xml:space="preserve">  The focus of our pupil premium strategy is to support disadvantaged pupils to achieve that goal, including progress for those who are already high attainers.</w:t>
            </w:r>
          </w:p>
          <w:p w14:paraId="525C9DDD" w14:textId="4D645753" w:rsidR="00700647" w:rsidRDefault="00754E0C" w:rsidP="005278CE">
            <w:pPr>
              <w:spacing w:before="120"/>
              <w:rPr>
                <w:i/>
                <w:iCs/>
              </w:rPr>
            </w:pPr>
            <w:r>
              <w:rPr>
                <w:i/>
                <w:iCs/>
              </w:rPr>
              <w:t xml:space="preserve">High quality </w:t>
            </w:r>
            <w:r w:rsidR="00E13A78">
              <w:rPr>
                <w:i/>
                <w:iCs/>
              </w:rPr>
              <w:t>t</w:t>
            </w:r>
            <w:r>
              <w:rPr>
                <w:i/>
                <w:iCs/>
              </w:rPr>
              <w:t>eaching is at the heart of our approach, with a focus on areas i</w:t>
            </w:r>
            <w:r w:rsidR="00D0171F">
              <w:rPr>
                <w:i/>
                <w:iCs/>
              </w:rPr>
              <w:t>n which disadvantaged pupils require the most support.  This is proven to have the greatest impact on closing the</w:t>
            </w:r>
            <w:r w:rsidR="0019463F">
              <w:rPr>
                <w:i/>
                <w:iCs/>
              </w:rPr>
              <w:t xml:space="preserve"> disadvantaged attainment</w:t>
            </w:r>
            <w:r w:rsidR="00D0171F">
              <w:rPr>
                <w:i/>
                <w:iCs/>
              </w:rPr>
              <w:t xml:space="preserve"> gap</w:t>
            </w:r>
            <w:r w:rsidR="0019463F">
              <w:rPr>
                <w:i/>
                <w:iCs/>
              </w:rPr>
              <w:t xml:space="preserve"> and at the same time will benefit the non-disadvantaged</w:t>
            </w:r>
            <w:r w:rsidR="00E13A78">
              <w:rPr>
                <w:i/>
                <w:iCs/>
              </w:rPr>
              <w:t xml:space="preserve"> pupils in our school.  Implicit in the intended outcomes detailed below</w:t>
            </w:r>
            <w:r w:rsidR="0083354E">
              <w:rPr>
                <w:i/>
                <w:iCs/>
              </w:rPr>
              <w:t>, is the intention that non-disadvant</w:t>
            </w:r>
            <w:r w:rsidR="001B4908">
              <w:rPr>
                <w:i/>
                <w:iCs/>
              </w:rPr>
              <w:t>a</w:t>
            </w:r>
            <w:r w:rsidR="0083354E">
              <w:rPr>
                <w:i/>
                <w:iCs/>
              </w:rPr>
              <w:t>g</w:t>
            </w:r>
            <w:r w:rsidR="001B4908">
              <w:rPr>
                <w:i/>
                <w:iCs/>
              </w:rPr>
              <w:t>ed</w:t>
            </w:r>
            <w:r w:rsidR="0083354E">
              <w:rPr>
                <w:i/>
                <w:iCs/>
              </w:rPr>
              <w:t xml:space="preserve"> pupils’ attainment will be sustained and improved alongside progress for their disadvantaged peers.</w:t>
            </w:r>
          </w:p>
          <w:p w14:paraId="7D591627" w14:textId="050EE57E" w:rsidR="00405A2C" w:rsidRDefault="00057326" w:rsidP="005278CE">
            <w:pPr>
              <w:spacing w:before="120"/>
              <w:rPr>
                <w:i/>
                <w:iCs/>
              </w:rPr>
            </w:pPr>
            <w:r>
              <w:rPr>
                <w:i/>
                <w:iCs/>
              </w:rPr>
              <w:t>We aim</w:t>
            </w:r>
            <w:r w:rsidR="00AF03B6">
              <w:rPr>
                <w:i/>
                <w:iCs/>
              </w:rPr>
              <w:t>:</w:t>
            </w:r>
          </w:p>
          <w:p w14:paraId="4B759554" w14:textId="77777777" w:rsidR="00B4263A" w:rsidRPr="00B4263A" w:rsidRDefault="00B4263A" w:rsidP="00B4263A">
            <w:pPr>
              <w:pStyle w:val="ListParagraph"/>
              <w:numPr>
                <w:ilvl w:val="0"/>
                <w:numId w:val="14"/>
              </w:numPr>
              <w:spacing w:before="120"/>
              <w:rPr>
                <w:i/>
                <w:iCs/>
              </w:rPr>
            </w:pPr>
            <w:r w:rsidRPr="00B4263A">
              <w:rPr>
                <w:i/>
                <w:iCs/>
              </w:rPr>
              <w:t>To deliver good or better learning for all.</w:t>
            </w:r>
          </w:p>
          <w:p w14:paraId="6A154DEE" w14:textId="60919107" w:rsidR="00720EEA" w:rsidRPr="00B4263A" w:rsidRDefault="00720EEA" w:rsidP="00B4263A">
            <w:pPr>
              <w:pStyle w:val="ListParagraph"/>
              <w:numPr>
                <w:ilvl w:val="0"/>
                <w:numId w:val="14"/>
              </w:numPr>
              <w:spacing w:before="120"/>
              <w:rPr>
                <w:i/>
                <w:iCs/>
              </w:rPr>
            </w:pPr>
            <w:r w:rsidRPr="00B4263A">
              <w:rPr>
                <w:i/>
                <w:iCs/>
              </w:rPr>
              <w:t xml:space="preserve">To raise the </w:t>
            </w:r>
            <w:r w:rsidR="002373BD" w:rsidRPr="00B4263A">
              <w:rPr>
                <w:i/>
                <w:iCs/>
              </w:rPr>
              <w:t>in-school</w:t>
            </w:r>
            <w:r w:rsidRPr="00B4263A">
              <w:rPr>
                <w:i/>
                <w:iCs/>
              </w:rPr>
              <w:t xml:space="preserve"> attainment of both disadvantaged pupils and their peers.</w:t>
            </w:r>
          </w:p>
          <w:p w14:paraId="5F0CA0A7" w14:textId="46497F86" w:rsidR="00720EEA" w:rsidRPr="00B4263A" w:rsidRDefault="00720EEA" w:rsidP="00B4263A">
            <w:pPr>
              <w:pStyle w:val="ListParagraph"/>
              <w:numPr>
                <w:ilvl w:val="0"/>
                <w:numId w:val="14"/>
              </w:numPr>
              <w:spacing w:before="120"/>
              <w:rPr>
                <w:i/>
                <w:iCs/>
              </w:rPr>
            </w:pPr>
            <w:r w:rsidRPr="00B4263A">
              <w:rPr>
                <w:i/>
                <w:iCs/>
              </w:rPr>
              <w:t>To increase the academic progress of disadvantaged pupils.</w:t>
            </w:r>
          </w:p>
          <w:p w14:paraId="0CAE0B01" w14:textId="5866FF41" w:rsidR="001A1D7C" w:rsidRPr="00B4263A" w:rsidRDefault="001A1D7C" w:rsidP="00B4263A">
            <w:pPr>
              <w:pStyle w:val="ListParagraph"/>
              <w:numPr>
                <w:ilvl w:val="0"/>
                <w:numId w:val="14"/>
              </w:numPr>
              <w:spacing w:before="120"/>
              <w:rPr>
                <w:i/>
                <w:iCs/>
              </w:rPr>
            </w:pPr>
            <w:r w:rsidRPr="00B4263A">
              <w:rPr>
                <w:i/>
                <w:iCs/>
              </w:rPr>
              <w:t>To raise the attendance of all disadvantaged pupils to over 90% and to aim for over 95%</w:t>
            </w:r>
          </w:p>
          <w:p w14:paraId="025B38CF" w14:textId="2B6645CF" w:rsidR="003B3CFC" w:rsidRPr="00B4263A" w:rsidRDefault="003B3CFC" w:rsidP="00B4263A">
            <w:pPr>
              <w:pStyle w:val="ListParagraph"/>
              <w:numPr>
                <w:ilvl w:val="0"/>
                <w:numId w:val="14"/>
              </w:numPr>
              <w:spacing w:before="120"/>
              <w:rPr>
                <w:i/>
                <w:iCs/>
              </w:rPr>
            </w:pPr>
            <w:r w:rsidRPr="00B4263A">
              <w:rPr>
                <w:i/>
                <w:iCs/>
              </w:rPr>
              <w:t>To diminish any attainment gap between the schools disadvantaged pupils and other children</w:t>
            </w:r>
            <w:r w:rsidR="00775492" w:rsidRPr="00B4263A">
              <w:rPr>
                <w:i/>
                <w:iCs/>
              </w:rPr>
              <w:t>.</w:t>
            </w:r>
          </w:p>
          <w:p w14:paraId="2A7D54E9" w14:textId="2F2866DD" w:rsidR="00E66558" w:rsidRDefault="00E66558" w:rsidP="002373BD">
            <w:pPr>
              <w:pStyle w:val="ListParagraph"/>
              <w:numPr>
                <w:ilvl w:val="0"/>
                <w:numId w:val="0"/>
              </w:numPr>
              <w:ind w:left="720"/>
              <w:rPr>
                <w:i/>
                <w:iCs/>
              </w:rPr>
            </w:pP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9052B4">
        <w:trPr>
          <w:trHeight w:val="756"/>
        </w:trPr>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4954D1D" w14:textId="77777777" w:rsidR="00E66558" w:rsidRDefault="009D71E8">
            <w:pPr>
              <w:pStyle w:val="TableHeader"/>
              <w:jc w:val="left"/>
            </w:pPr>
            <w:r>
              <w:t xml:space="preserve">Detail of challenge </w:t>
            </w:r>
          </w:p>
          <w:p w14:paraId="6EB4CEC3" w14:textId="77777777" w:rsidR="009A7105" w:rsidRDefault="009A7105">
            <w:pPr>
              <w:pStyle w:val="TableHeader"/>
              <w:jc w:val="left"/>
            </w:pPr>
          </w:p>
          <w:p w14:paraId="2A7D54EE" w14:textId="7B1BA5CE" w:rsidR="005C0448" w:rsidRDefault="005C0448">
            <w:pPr>
              <w:pStyle w:val="TableHeader"/>
              <w:jc w:val="left"/>
            </w:pP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3F40D" w14:textId="77777777" w:rsidR="0084220B" w:rsidRPr="009052B4" w:rsidRDefault="001F6608">
            <w:pPr>
              <w:pStyle w:val="TableRowCentered"/>
              <w:jc w:val="left"/>
              <w:rPr>
                <w:b/>
                <w:bCs/>
                <w:sz w:val="22"/>
                <w:szCs w:val="22"/>
              </w:rPr>
            </w:pPr>
            <w:r w:rsidRPr="009052B4">
              <w:rPr>
                <w:b/>
                <w:bCs/>
                <w:sz w:val="22"/>
                <w:szCs w:val="22"/>
              </w:rPr>
              <w:t>Special Educational Needs</w:t>
            </w:r>
            <w:r w:rsidR="0084220B" w:rsidRPr="009052B4">
              <w:rPr>
                <w:b/>
                <w:bCs/>
                <w:sz w:val="22"/>
                <w:szCs w:val="22"/>
              </w:rPr>
              <w:t>.</w:t>
            </w:r>
          </w:p>
          <w:p w14:paraId="36C2E831" w14:textId="592ACD71" w:rsidR="00E66558" w:rsidRDefault="0084220B">
            <w:pPr>
              <w:pStyle w:val="TableRowCentered"/>
              <w:jc w:val="left"/>
            </w:pPr>
            <w:r>
              <w:t xml:space="preserve">SEND pupils have a learning difficulty or disability which calls for </w:t>
            </w:r>
            <w:r w:rsidR="007837E0">
              <w:t xml:space="preserve">special educational provision to be made for them. </w:t>
            </w:r>
            <w:r w:rsidR="00572FC3">
              <w:t>18.</w:t>
            </w:r>
            <w:r w:rsidR="00572FC3" w:rsidRPr="00572FC3">
              <w:t>5</w:t>
            </w:r>
            <w:r w:rsidR="007837E0" w:rsidRPr="00572FC3">
              <w:t>%</w:t>
            </w:r>
            <w:r w:rsidR="007837E0">
              <w:t xml:space="preserve"> </w:t>
            </w:r>
            <w:r w:rsidR="00572FC3">
              <w:t>23</w:t>
            </w:r>
            <w:r w:rsidR="00447117">
              <w:t xml:space="preserve"> </w:t>
            </w:r>
            <w:r w:rsidR="00304041" w:rsidRPr="00447117">
              <w:t>pupils)</w:t>
            </w:r>
            <w:r w:rsidR="009302BD">
              <w:t xml:space="preserve"> </w:t>
            </w:r>
            <w:r w:rsidR="007837E0" w:rsidRPr="00447117">
              <w:t>of</w:t>
            </w:r>
            <w:r w:rsidR="007837E0">
              <w:t xml:space="preserve"> Disadvantaged children at Tanners Broo</w:t>
            </w:r>
            <w:r w:rsidR="009052B4">
              <w:t xml:space="preserve">k </w:t>
            </w:r>
            <w:r w:rsidR="007837E0">
              <w:t>are registered as SEND learners.</w:t>
            </w:r>
          </w:p>
          <w:p w14:paraId="3D73C78F" w14:textId="2670E8BA" w:rsidR="00304041" w:rsidRDefault="00BC5A62">
            <w:pPr>
              <w:pStyle w:val="TableRowCentered"/>
              <w:jc w:val="left"/>
            </w:pPr>
            <w:r w:rsidRPr="00BC5A62">
              <w:t>30.4</w:t>
            </w:r>
            <w:r w:rsidR="00304041" w:rsidRPr="00BC5A62">
              <w:t xml:space="preserve">% </w:t>
            </w:r>
            <w:r w:rsidR="00E70E93" w:rsidRPr="00BC5A62">
              <w:t>of</w:t>
            </w:r>
            <w:r w:rsidR="00E70E93">
              <w:t xml:space="preserve"> these disadvantaged pupils have an EHCP</w:t>
            </w:r>
          </w:p>
          <w:p w14:paraId="2DE6826F" w14:textId="5287D3AA" w:rsidR="00E70E93" w:rsidRDefault="009302BD">
            <w:pPr>
              <w:pStyle w:val="TableRowCentered"/>
              <w:jc w:val="left"/>
            </w:pPr>
            <w:r>
              <w:t xml:space="preserve">14 </w:t>
            </w:r>
            <w:r w:rsidR="00E70E93">
              <w:t xml:space="preserve">disadvantaged </w:t>
            </w:r>
            <w:r w:rsidR="00AB62BC">
              <w:t>pupils have lang</w:t>
            </w:r>
            <w:r w:rsidR="00120532">
              <w:t>u</w:t>
            </w:r>
            <w:r w:rsidR="00AB62BC">
              <w:t>age and communication needs.</w:t>
            </w:r>
          </w:p>
          <w:p w14:paraId="408A2B41" w14:textId="7299EFBB" w:rsidR="00AB62BC" w:rsidRDefault="009302BD">
            <w:pPr>
              <w:pStyle w:val="TableRowCentered"/>
              <w:jc w:val="left"/>
            </w:pPr>
            <w:r>
              <w:lastRenderedPageBreak/>
              <w:t xml:space="preserve">16 </w:t>
            </w:r>
            <w:r w:rsidR="00AB62BC">
              <w:t xml:space="preserve">disadvantaged pupils </w:t>
            </w:r>
            <w:r w:rsidR="00412300">
              <w:t>have moderate learning difficulty.</w:t>
            </w:r>
          </w:p>
          <w:p w14:paraId="67613C20" w14:textId="3F3E5B5A" w:rsidR="00412300" w:rsidRDefault="009302BD" w:rsidP="009302BD">
            <w:pPr>
              <w:pStyle w:val="TableRowCentered"/>
              <w:ind w:left="0"/>
              <w:jc w:val="left"/>
            </w:pPr>
            <w:r>
              <w:t xml:space="preserve">  4</w:t>
            </w:r>
            <w:r w:rsidR="00120532">
              <w:t xml:space="preserve"> disadvantaged pupils have autistic spectrum disorder.</w:t>
            </w:r>
          </w:p>
          <w:p w14:paraId="5EFF82A5" w14:textId="206EE3ED" w:rsidR="00120532" w:rsidRDefault="009302BD">
            <w:pPr>
              <w:pStyle w:val="TableRowCentered"/>
              <w:jc w:val="left"/>
            </w:pPr>
            <w:r>
              <w:t xml:space="preserve"> 0 </w:t>
            </w:r>
            <w:r w:rsidR="00120532">
              <w:t>disadvantaged pupils have social and emotional needs.</w:t>
            </w:r>
          </w:p>
          <w:p w14:paraId="2A7D54F1" w14:textId="79185D5E" w:rsidR="00525249" w:rsidRDefault="00525249">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6E7D" w14:textId="5F105D1A" w:rsidR="00E66558" w:rsidRDefault="004F4145">
            <w:pPr>
              <w:pStyle w:val="TableRowCentered"/>
              <w:jc w:val="left"/>
              <w:rPr>
                <w:sz w:val="22"/>
                <w:szCs w:val="22"/>
              </w:rPr>
            </w:pPr>
            <w:r w:rsidRPr="00505CAD">
              <w:rPr>
                <w:b/>
                <w:bCs/>
                <w:sz w:val="22"/>
                <w:szCs w:val="22"/>
              </w:rPr>
              <w:t>English as an additional language (EAL)</w:t>
            </w:r>
            <w:r w:rsidR="00505CAD" w:rsidRPr="00505CAD">
              <w:rPr>
                <w:b/>
                <w:bCs/>
                <w:sz w:val="22"/>
                <w:szCs w:val="22"/>
              </w:rPr>
              <w:t>.</w:t>
            </w:r>
          </w:p>
          <w:p w14:paraId="04944B15" w14:textId="5C7DC4D9" w:rsidR="00015EAB" w:rsidRDefault="00015EAB">
            <w:pPr>
              <w:pStyle w:val="TableRowCentered"/>
              <w:jc w:val="left"/>
              <w:rPr>
                <w:sz w:val="22"/>
                <w:szCs w:val="22"/>
              </w:rPr>
            </w:pPr>
            <w:r>
              <w:rPr>
                <w:sz w:val="22"/>
                <w:szCs w:val="22"/>
              </w:rPr>
              <w:t xml:space="preserve">A learner of English as an additional language (EAL) </w:t>
            </w:r>
            <w:r w:rsidR="009932D8">
              <w:rPr>
                <w:sz w:val="22"/>
                <w:szCs w:val="22"/>
              </w:rPr>
              <w:t>is</w:t>
            </w:r>
            <w:r>
              <w:rPr>
                <w:sz w:val="22"/>
                <w:szCs w:val="22"/>
              </w:rPr>
              <w:t xml:space="preserve"> a pupil whose first language is other than English</w:t>
            </w:r>
            <w:r w:rsidR="002364D5">
              <w:rPr>
                <w:sz w:val="22"/>
                <w:szCs w:val="22"/>
              </w:rPr>
              <w:t>. First lang</w:t>
            </w:r>
            <w:r w:rsidR="009932D8">
              <w:rPr>
                <w:sz w:val="22"/>
                <w:szCs w:val="22"/>
              </w:rPr>
              <w:t>u</w:t>
            </w:r>
            <w:r w:rsidR="002364D5">
              <w:rPr>
                <w:sz w:val="22"/>
                <w:szCs w:val="22"/>
              </w:rPr>
              <w:t>age is the lang</w:t>
            </w:r>
            <w:r w:rsidR="00350189">
              <w:rPr>
                <w:sz w:val="22"/>
                <w:szCs w:val="22"/>
              </w:rPr>
              <w:t>u</w:t>
            </w:r>
            <w:r w:rsidR="002364D5">
              <w:rPr>
                <w:sz w:val="22"/>
                <w:szCs w:val="22"/>
              </w:rPr>
              <w:t>age to which the child was initially exposed during early development</w:t>
            </w:r>
            <w:r w:rsidR="00A35F9B">
              <w:rPr>
                <w:sz w:val="22"/>
                <w:szCs w:val="22"/>
              </w:rPr>
              <w:t xml:space="preserve"> and continues to use this language in the home and the community.</w:t>
            </w:r>
          </w:p>
          <w:p w14:paraId="2A7D54F4" w14:textId="602BCF70" w:rsidR="00A35F9B" w:rsidRDefault="00B45B6A">
            <w:pPr>
              <w:pStyle w:val="TableRowCentered"/>
              <w:jc w:val="left"/>
              <w:rPr>
                <w:sz w:val="22"/>
                <w:szCs w:val="22"/>
              </w:rPr>
            </w:pPr>
            <w:r w:rsidRPr="00B45B6A">
              <w:rPr>
                <w:sz w:val="22"/>
                <w:szCs w:val="22"/>
              </w:rPr>
              <w:t>2</w:t>
            </w:r>
            <w:r w:rsidR="00974F8A">
              <w:rPr>
                <w:sz w:val="22"/>
                <w:szCs w:val="22"/>
              </w:rPr>
              <w:t>0.8</w:t>
            </w:r>
            <w:r w:rsidR="00A35F9B" w:rsidRPr="00B45B6A">
              <w:rPr>
                <w:sz w:val="22"/>
                <w:szCs w:val="22"/>
              </w:rPr>
              <w:t>% (</w:t>
            </w:r>
            <w:r w:rsidR="00AB1784">
              <w:rPr>
                <w:sz w:val="22"/>
                <w:szCs w:val="22"/>
              </w:rPr>
              <w:t xml:space="preserve">20 </w:t>
            </w:r>
            <w:r w:rsidR="00A35F9B" w:rsidRPr="00B45B6A">
              <w:rPr>
                <w:sz w:val="22"/>
                <w:szCs w:val="22"/>
              </w:rPr>
              <w:t>pupils</w:t>
            </w:r>
            <w:r w:rsidR="00AB1784">
              <w:rPr>
                <w:sz w:val="22"/>
                <w:szCs w:val="22"/>
              </w:rPr>
              <w:t xml:space="preserve"> out of 96 EAL pupils</w:t>
            </w:r>
            <w:r w:rsidR="00A35F9B" w:rsidRPr="00B45B6A">
              <w:rPr>
                <w:sz w:val="22"/>
                <w:szCs w:val="22"/>
              </w:rPr>
              <w:t>)</w:t>
            </w:r>
            <w:r w:rsidR="00A35F9B">
              <w:rPr>
                <w:sz w:val="22"/>
                <w:szCs w:val="22"/>
              </w:rPr>
              <w:t xml:space="preserve"> of disadvantaged children</w:t>
            </w:r>
            <w:r w:rsidR="00350189">
              <w:rPr>
                <w:sz w:val="22"/>
                <w:szCs w:val="22"/>
              </w:rPr>
              <w:t xml:space="preserve"> </w:t>
            </w:r>
            <w:r w:rsidR="00A35F9B">
              <w:rPr>
                <w:sz w:val="22"/>
                <w:szCs w:val="22"/>
              </w:rPr>
              <w:t>a</w:t>
            </w:r>
            <w:r w:rsidR="00350189">
              <w:rPr>
                <w:sz w:val="22"/>
                <w:szCs w:val="22"/>
              </w:rPr>
              <w:t>t Tanners Brook Primary School are registered as EAL learners.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97117" w14:textId="79A23677" w:rsidR="00505CAD" w:rsidRPr="00505CAD" w:rsidRDefault="00505CAD">
            <w:pPr>
              <w:pStyle w:val="TableRowCentered"/>
              <w:jc w:val="left"/>
              <w:rPr>
                <w:b/>
                <w:bCs/>
                <w:sz w:val="22"/>
                <w:szCs w:val="22"/>
              </w:rPr>
            </w:pPr>
            <w:r w:rsidRPr="00505CAD">
              <w:rPr>
                <w:b/>
                <w:bCs/>
                <w:sz w:val="22"/>
                <w:szCs w:val="22"/>
              </w:rPr>
              <w:t>Attendance.</w:t>
            </w:r>
          </w:p>
          <w:p w14:paraId="5AB60F4E" w14:textId="1B27BC4A" w:rsidR="00A4631E" w:rsidRDefault="009932D8" w:rsidP="00D03395">
            <w:pPr>
              <w:pStyle w:val="TableRowCentered"/>
              <w:jc w:val="left"/>
              <w:rPr>
                <w:sz w:val="22"/>
                <w:szCs w:val="22"/>
              </w:rPr>
            </w:pPr>
            <w:r>
              <w:rPr>
                <w:sz w:val="22"/>
                <w:szCs w:val="22"/>
              </w:rPr>
              <w:t>Persistent low attendance causes gaps to develop</w:t>
            </w:r>
            <w:r w:rsidR="00A4631E">
              <w:rPr>
                <w:sz w:val="22"/>
                <w:szCs w:val="22"/>
              </w:rPr>
              <w:t xml:space="preserve"> within pupil subject knowledge.  Previous attendance records show that :</w:t>
            </w:r>
            <w:r w:rsidR="002F4322" w:rsidRPr="002F4322">
              <w:rPr>
                <w:sz w:val="22"/>
                <w:szCs w:val="22"/>
              </w:rPr>
              <w:t>50</w:t>
            </w:r>
            <w:r w:rsidR="000A4D43" w:rsidRPr="002F4322">
              <w:rPr>
                <w:sz w:val="22"/>
                <w:szCs w:val="22"/>
              </w:rPr>
              <w:t>% (</w:t>
            </w:r>
            <w:r w:rsidR="002F4322" w:rsidRPr="002F4322">
              <w:rPr>
                <w:sz w:val="22"/>
                <w:szCs w:val="22"/>
              </w:rPr>
              <w:t>57</w:t>
            </w:r>
            <w:r w:rsidR="002F4322">
              <w:rPr>
                <w:sz w:val="22"/>
                <w:szCs w:val="22"/>
              </w:rPr>
              <w:t xml:space="preserve"> </w:t>
            </w:r>
            <w:r w:rsidR="000A4D43">
              <w:rPr>
                <w:sz w:val="22"/>
                <w:szCs w:val="22"/>
              </w:rPr>
              <w:t xml:space="preserve">pupils) of disadvantaged children at Tanners Brook Primary School have an attendance below 95% </w:t>
            </w:r>
            <w:r w:rsidR="00E901B0">
              <w:rPr>
                <w:sz w:val="22"/>
                <w:szCs w:val="22"/>
              </w:rPr>
              <w:t>(2020-2021)</w:t>
            </w:r>
          </w:p>
          <w:p w14:paraId="2A7D54F7" w14:textId="58703C72" w:rsidR="000058D8" w:rsidRDefault="002E376D" w:rsidP="00876118">
            <w:pPr>
              <w:pStyle w:val="TableRowCentered"/>
              <w:jc w:val="left"/>
              <w:rPr>
                <w:sz w:val="22"/>
                <w:szCs w:val="22"/>
              </w:rPr>
            </w:pPr>
            <w:r>
              <w:rPr>
                <w:sz w:val="22"/>
                <w:szCs w:val="22"/>
              </w:rPr>
              <w:t>33.3%</w:t>
            </w:r>
            <w:r w:rsidR="00137D21">
              <w:rPr>
                <w:sz w:val="22"/>
                <w:szCs w:val="22"/>
              </w:rPr>
              <w:t xml:space="preserve"> (38) disadvantaged pupils had an attendance figure below 90% for the </w:t>
            </w:r>
            <w:r w:rsidR="00876118">
              <w:rPr>
                <w:sz w:val="22"/>
                <w:szCs w:val="22"/>
              </w:rPr>
              <w:t>2020-21 academic year.</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CDD6" w14:textId="77777777" w:rsidR="00E66558" w:rsidRPr="0077609A" w:rsidRDefault="00E6750C">
            <w:pPr>
              <w:pStyle w:val="TableRowCentered"/>
              <w:jc w:val="left"/>
              <w:rPr>
                <w:b/>
                <w:bCs/>
                <w:iCs/>
                <w:sz w:val="22"/>
              </w:rPr>
            </w:pPr>
            <w:r w:rsidRPr="0077609A">
              <w:rPr>
                <w:b/>
                <w:bCs/>
                <w:iCs/>
                <w:sz w:val="22"/>
              </w:rPr>
              <w:t>Previous low attainment.</w:t>
            </w:r>
          </w:p>
          <w:p w14:paraId="0A4A6497" w14:textId="77777777" w:rsidR="00E6750C" w:rsidRPr="0077609A" w:rsidRDefault="00E6750C">
            <w:pPr>
              <w:pStyle w:val="TableRowCentered"/>
              <w:jc w:val="left"/>
              <w:rPr>
                <w:iCs/>
                <w:sz w:val="22"/>
              </w:rPr>
            </w:pPr>
            <w:r w:rsidRPr="0077609A">
              <w:rPr>
                <w:iCs/>
                <w:sz w:val="22"/>
              </w:rPr>
              <w:t xml:space="preserve">Low prior attainment requires rapid </w:t>
            </w:r>
            <w:r w:rsidR="001A79BB" w:rsidRPr="0077609A">
              <w:rPr>
                <w:iCs/>
                <w:sz w:val="22"/>
              </w:rPr>
              <w:t xml:space="preserve">progress </w:t>
            </w:r>
            <w:proofErr w:type="gramStart"/>
            <w:r w:rsidR="001A79BB" w:rsidRPr="0077609A">
              <w:rPr>
                <w:iCs/>
                <w:sz w:val="22"/>
              </w:rPr>
              <w:t>in order to</w:t>
            </w:r>
            <w:proofErr w:type="gramEnd"/>
            <w:r w:rsidR="001A79BB" w:rsidRPr="0077609A">
              <w:rPr>
                <w:iCs/>
                <w:sz w:val="22"/>
              </w:rPr>
              <w:t xml:space="preserve"> meet age related expectations.  Additional learning opportunities are required.</w:t>
            </w:r>
          </w:p>
          <w:p w14:paraId="2A7D54FA" w14:textId="4B65E6F1" w:rsidR="001A79BB" w:rsidRPr="0077609A" w:rsidRDefault="0020003F">
            <w:pPr>
              <w:pStyle w:val="TableRowCentered"/>
              <w:jc w:val="left"/>
              <w:rPr>
                <w:iCs/>
                <w:sz w:val="22"/>
                <w:highlight w:val="yellow"/>
              </w:rPr>
            </w:pPr>
            <w:r w:rsidRPr="0077609A">
              <w:rPr>
                <w:iCs/>
                <w:sz w:val="22"/>
              </w:rPr>
              <w:t>37</w:t>
            </w:r>
            <w:r w:rsidR="001A79BB" w:rsidRPr="0077609A">
              <w:rPr>
                <w:iCs/>
                <w:sz w:val="22"/>
              </w:rPr>
              <w:t xml:space="preserve"> disadvantaged children at Tanners Brook Primary School are identified as being </w:t>
            </w:r>
            <w:r w:rsidR="00A26E0C" w:rsidRPr="0077609A">
              <w:rPr>
                <w:iCs/>
                <w:sz w:val="22"/>
              </w:rPr>
              <w:t>Low Prior attainers</w:t>
            </w:r>
            <w:r w:rsidR="0077609A">
              <w:rPr>
                <w:iCs/>
                <w:sz w:val="22"/>
              </w:rPr>
              <w:t>.</w:t>
            </w:r>
          </w:p>
        </w:tc>
      </w:tr>
      <w:tr w:rsidR="00270F69" w14:paraId="6735213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1480" w14:textId="7B242229" w:rsidR="00270F69" w:rsidRDefault="0049742F">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E522" w14:textId="05A1EC59" w:rsidR="00270F69" w:rsidRDefault="009438E7">
            <w:pPr>
              <w:pStyle w:val="TableRowCentered"/>
              <w:jc w:val="left"/>
              <w:rPr>
                <w:b/>
                <w:bCs/>
                <w:iCs/>
                <w:sz w:val="22"/>
              </w:rPr>
            </w:pPr>
            <w:r>
              <w:rPr>
                <w:b/>
                <w:bCs/>
                <w:iCs/>
                <w:sz w:val="22"/>
              </w:rPr>
              <w:t>Communication and Language.</w:t>
            </w:r>
            <w:r w:rsidR="00E331EF">
              <w:rPr>
                <w:b/>
                <w:bCs/>
                <w:iCs/>
                <w:sz w:val="22"/>
              </w:rPr>
              <w:t xml:space="preserve"> </w:t>
            </w:r>
          </w:p>
          <w:p w14:paraId="29354734" w14:textId="2FF4D70B" w:rsidR="009438E7" w:rsidRPr="00E331EF" w:rsidRDefault="009438E7">
            <w:pPr>
              <w:pStyle w:val="TableRowCentered"/>
              <w:jc w:val="left"/>
              <w:rPr>
                <w:iCs/>
                <w:sz w:val="22"/>
              </w:rPr>
            </w:pPr>
            <w:r w:rsidRPr="00E331EF">
              <w:rPr>
                <w:iCs/>
                <w:sz w:val="22"/>
              </w:rPr>
              <w:t>Delayed language development can</w:t>
            </w:r>
            <w:r w:rsidR="00E331EF" w:rsidRPr="00E331EF">
              <w:rPr>
                <w:iCs/>
                <w:sz w:val="22"/>
              </w:rPr>
              <w:t xml:space="preserve"> </w:t>
            </w:r>
            <w:r w:rsidRPr="00E331EF">
              <w:rPr>
                <w:iCs/>
                <w:sz w:val="22"/>
              </w:rPr>
              <w:t>mean an inability to use and understand</w:t>
            </w:r>
            <w:r w:rsidR="003B214C" w:rsidRPr="00E331EF">
              <w:rPr>
                <w:iCs/>
                <w:sz w:val="22"/>
              </w:rPr>
              <w:t xml:space="preserve"> speech and language to communicate and fully engage with the curriculum.  This can have a </w:t>
            </w:r>
            <w:r w:rsidR="00F60A0F" w:rsidRPr="00E331EF">
              <w:rPr>
                <w:iCs/>
                <w:sz w:val="22"/>
              </w:rPr>
              <w:t>significant impact on future school performance.</w:t>
            </w:r>
          </w:p>
          <w:p w14:paraId="64994691" w14:textId="22D144F3" w:rsidR="00F60A0F" w:rsidRPr="00505CAD" w:rsidRDefault="00876118">
            <w:pPr>
              <w:pStyle w:val="TableRowCentered"/>
              <w:jc w:val="left"/>
              <w:rPr>
                <w:b/>
                <w:bCs/>
                <w:iCs/>
                <w:sz w:val="22"/>
              </w:rPr>
            </w:pPr>
            <w:r>
              <w:rPr>
                <w:iCs/>
                <w:sz w:val="22"/>
              </w:rPr>
              <w:t>8</w:t>
            </w:r>
            <w:r w:rsidR="00F60A0F" w:rsidRPr="00A26DDE">
              <w:rPr>
                <w:iCs/>
                <w:sz w:val="22"/>
              </w:rPr>
              <w:t>%</w:t>
            </w:r>
            <w:r w:rsidR="00F60A0F" w:rsidRPr="00E331EF">
              <w:rPr>
                <w:iCs/>
                <w:sz w:val="22"/>
              </w:rPr>
              <w:t xml:space="preserve"> of disadvantaged </w:t>
            </w:r>
            <w:r w:rsidR="00E331EF" w:rsidRPr="00E331EF">
              <w:rPr>
                <w:iCs/>
                <w:sz w:val="22"/>
              </w:rPr>
              <w:t xml:space="preserve">learners </w:t>
            </w:r>
            <w:r w:rsidR="00E331EF" w:rsidRPr="00A26DDE">
              <w:rPr>
                <w:iCs/>
                <w:sz w:val="22"/>
              </w:rPr>
              <w:t>(</w:t>
            </w:r>
            <w:r>
              <w:rPr>
                <w:iCs/>
                <w:sz w:val="22"/>
              </w:rPr>
              <w:t xml:space="preserve">10 </w:t>
            </w:r>
            <w:r w:rsidR="00E331EF" w:rsidRPr="00A26DDE">
              <w:rPr>
                <w:iCs/>
                <w:sz w:val="22"/>
              </w:rPr>
              <w:t>pupils)</w:t>
            </w:r>
            <w:r w:rsidR="00E331EF" w:rsidRPr="00E331EF">
              <w:rPr>
                <w:iCs/>
                <w:sz w:val="22"/>
              </w:rPr>
              <w:t xml:space="preserve"> at Tanners Brook Primary School have required speech and language support.</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A07DFDE" w:rsidR="00E66558" w:rsidRDefault="0049742F">
            <w:pPr>
              <w:pStyle w:val="TableRow"/>
              <w:rPr>
                <w:sz w:val="22"/>
                <w:szCs w:val="22"/>
              </w:rPr>
            </w:pPr>
            <w:bookmarkStart w:id="16" w:name="_Toc443397160"/>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1E67A" w14:textId="77777777" w:rsidR="00E66558" w:rsidRPr="00505CAD" w:rsidRDefault="006F511D">
            <w:pPr>
              <w:pStyle w:val="TableRowCentered"/>
              <w:jc w:val="left"/>
              <w:rPr>
                <w:b/>
                <w:bCs/>
                <w:iCs/>
                <w:sz w:val="22"/>
              </w:rPr>
            </w:pPr>
            <w:r w:rsidRPr="00505CAD">
              <w:rPr>
                <w:b/>
                <w:bCs/>
                <w:iCs/>
                <w:sz w:val="22"/>
              </w:rPr>
              <w:t xml:space="preserve">Parental engagement.  </w:t>
            </w:r>
          </w:p>
          <w:p w14:paraId="2A7D54FD" w14:textId="7914719C" w:rsidR="006F511D" w:rsidRDefault="006F511D">
            <w:pPr>
              <w:pStyle w:val="TableRowCentered"/>
              <w:jc w:val="left"/>
              <w:rPr>
                <w:iCs/>
                <w:sz w:val="22"/>
              </w:rPr>
            </w:pPr>
            <w:r>
              <w:rPr>
                <w:iCs/>
                <w:sz w:val="22"/>
              </w:rPr>
              <w:t xml:space="preserve">Parents of </w:t>
            </w:r>
            <w:r w:rsidR="00CB4003">
              <w:rPr>
                <w:iCs/>
                <w:sz w:val="22"/>
              </w:rPr>
              <w:t>Pupil Premiu</w:t>
            </w:r>
            <w:r w:rsidR="00505CAD">
              <w:rPr>
                <w:iCs/>
                <w:sz w:val="22"/>
              </w:rPr>
              <w:t>m</w:t>
            </w:r>
            <w:r w:rsidR="00CB4003">
              <w:rPr>
                <w:iCs/>
                <w:sz w:val="22"/>
              </w:rPr>
              <w:t xml:space="preserve"> children are </w:t>
            </w:r>
            <w:r w:rsidR="00382558">
              <w:rPr>
                <w:iCs/>
                <w:sz w:val="22"/>
              </w:rPr>
              <w:t>under</w:t>
            </w:r>
            <w:r w:rsidR="005E1C86">
              <w:rPr>
                <w:iCs/>
                <w:sz w:val="22"/>
              </w:rPr>
              <w:t>-</w:t>
            </w:r>
            <w:r w:rsidR="00382558">
              <w:rPr>
                <w:iCs/>
                <w:sz w:val="22"/>
              </w:rPr>
              <w:t>represented</w:t>
            </w:r>
            <w:r w:rsidR="00CB4003">
              <w:rPr>
                <w:iCs/>
                <w:sz w:val="22"/>
              </w:rPr>
              <w:t xml:space="preserve"> at parental events </w:t>
            </w:r>
            <w:r w:rsidR="00382558">
              <w:rPr>
                <w:iCs/>
                <w:sz w:val="22"/>
              </w:rPr>
              <w:t>e.g.</w:t>
            </w:r>
            <w:r w:rsidR="00CB4003">
              <w:rPr>
                <w:iCs/>
                <w:sz w:val="22"/>
              </w:rPr>
              <w:t>, parents’ evenings</w:t>
            </w:r>
            <w:r w:rsidR="00AF4DF0">
              <w:rPr>
                <w:iCs/>
                <w:sz w:val="22"/>
              </w:rPr>
              <w:t>, consultation meetings, learning workshops,</w:t>
            </w:r>
            <w:r w:rsidR="00505CAD">
              <w:rPr>
                <w:iCs/>
                <w:sz w:val="22"/>
              </w:rPr>
              <w:t xml:space="preserve"> </w:t>
            </w:r>
            <w:r w:rsidR="00AF4DF0">
              <w:rPr>
                <w:iCs/>
                <w:sz w:val="22"/>
              </w:rPr>
              <w:t>assemblies etc.</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FD0215" w:rsidR="00E66558" w:rsidRDefault="00300E35">
            <w:pPr>
              <w:pStyle w:val="TableRow"/>
            </w:pPr>
            <w: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5CCFB76" w:rsidR="00E66558" w:rsidRDefault="00395565">
            <w:pPr>
              <w:pStyle w:val="TableRowCentered"/>
              <w:jc w:val="left"/>
              <w:rPr>
                <w:sz w:val="22"/>
                <w:szCs w:val="22"/>
              </w:rPr>
            </w:pPr>
            <w:r>
              <w:rPr>
                <w:sz w:val="22"/>
                <w:szCs w:val="22"/>
              </w:rPr>
              <w:t>Achieve above national average progress scores in KS2 Reading</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F7A998B" w:rsidR="00E66558" w:rsidRDefault="00300E35">
            <w:pPr>
              <w:pStyle w:val="TableRow"/>
              <w:rPr>
                <w:sz w:val="22"/>
                <w:szCs w:val="22"/>
              </w:rPr>
            </w:pPr>
            <w:r>
              <w:rPr>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F641478" w:rsidR="005F0BD3" w:rsidRDefault="005F0BD3" w:rsidP="005F0BD3">
            <w:pPr>
              <w:pStyle w:val="TableRowCentered"/>
              <w:jc w:val="left"/>
              <w:rPr>
                <w:sz w:val="22"/>
                <w:szCs w:val="22"/>
              </w:rPr>
            </w:pPr>
            <w:r>
              <w:rPr>
                <w:sz w:val="22"/>
                <w:szCs w:val="22"/>
              </w:rPr>
              <w:t>Achieve above national average progress scores in KS2 Writing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3A87E65" w:rsidR="00E66558" w:rsidRDefault="00395565">
            <w:pPr>
              <w:pStyle w:val="TableRow"/>
              <w:rPr>
                <w:sz w:val="22"/>
                <w:szCs w:val="22"/>
              </w:rPr>
            </w:pPr>
            <w:r>
              <w:rPr>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8C629F7" w:rsidR="00E66558" w:rsidRDefault="005F0BD3">
            <w:pPr>
              <w:pStyle w:val="TableRowCentered"/>
              <w:jc w:val="left"/>
              <w:rPr>
                <w:sz w:val="22"/>
                <w:szCs w:val="22"/>
              </w:rPr>
            </w:pPr>
            <w:r>
              <w:rPr>
                <w:sz w:val="22"/>
                <w:szCs w:val="22"/>
              </w:rPr>
              <w:t xml:space="preserve">Achieve above </w:t>
            </w:r>
            <w:r w:rsidR="00E1786C">
              <w:rPr>
                <w:sz w:val="22"/>
                <w:szCs w:val="22"/>
              </w:rPr>
              <w:t xml:space="preserve">national average progress scores </w:t>
            </w:r>
            <w:r w:rsidR="00E1786C" w:rsidRPr="0048565E">
              <w:rPr>
                <w:sz w:val="22"/>
                <w:szCs w:val="22"/>
              </w:rPr>
              <w:t xml:space="preserve">in </w:t>
            </w:r>
            <w:r w:rsidR="00202AA3" w:rsidRPr="0048565E">
              <w:rPr>
                <w:sz w:val="22"/>
                <w:szCs w:val="22"/>
              </w:rPr>
              <w:t>KS2 Maths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F59CB7B" w:rsidR="00E66558" w:rsidRDefault="00616A6B">
            <w:pPr>
              <w:pStyle w:val="TableRow"/>
              <w:rPr>
                <w:sz w:val="22"/>
                <w:szCs w:val="22"/>
              </w:rPr>
            </w:pPr>
            <w:r>
              <w:rPr>
                <w:sz w:val="22"/>
                <w:szCs w:val="22"/>
              </w:rPr>
              <w:lastRenderedPageBreak/>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F82BCF5" w:rsidR="00E66558" w:rsidRDefault="006A593B">
            <w:pPr>
              <w:pStyle w:val="TableRowCentered"/>
              <w:jc w:val="left"/>
              <w:rPr>
                <w:sz w:val="22"/>
                <w:szCs w:val="22"/>
              </w:rPr>
            </w:pPr>
            <w:r>
              <w:rPr>
                <w:sz w:val="22"/>
                <w:szCs w:val="22"/>
              </w:rPr>
              <w:t>Attainment in line with national non-disadvantaged standards.</w:t>
            </w:r>
          </w:p>
        </w:tc>
      </w:tr>
      <w:tr w:rsidR="00202AA3" w14:paraId="4A2F8E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F4D0" w14:textId="6B863EEF" w:rsidR="00202AA3" w:rsidRDefault="00616A6B">
            <w:pPr>
              <w:pStyle w:val="TableRow"/>
              <w:rPr>
                <w:sz w:val="22"/>
                <w:szCs w:val="22"/>
              </w:rPr>
            </w:pPr>
            <w:r>
              <w:rPr>
                <w:sz w:val="22"/>
                <w:szCs w:val="22"/>
              </w:rPr>
              <w:t>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9A4AD" w14:textId="4E36ECA4" w:rsidR="00202AA3" w:rsidRDefault="00616A6B">
            <w:pPr>
              <w:pStyle w:val="TableRowCentered"/>
              <w:jc w:val="left"/>
              <w:rPr>
                <w:sz w:val="22"/>
                <w:szCs w:val="22"/>
              </w:rPr>
            </w:pPr>
            <w:r>
              <w:rPr>
                <w:sz w:val="22"/>
                <w:szCs w:val="22"/>
              </w:rPr>
              <w:t xml:space="preserve">Improve attendance of disadvantaged pupils to be in line </w:t>
            </w:r>
            <w:r w:rsidRPr="0048565E">
              <w:rPr>
                <w:sz w:val="22"/>
                <w:szCs w:val="22"/>
              </w:rPr>
              <w:t>with 20</w:t>
            </w:r>
            <w:r w:rsidR="0084328E" w:rsidRPr="0048565E">
              <w:rPr>
                <w:sz w:val="22"/>
                <w:szCs w:val="22"/>
              </w:rPr>
              <w:t>19</w:t>
            </w:r>
            <w:r>
              <w:rPr>
                <w:sz w:val="22"/>
                <w:szCs w:val="22"/>
              </w:rPr>
              <w:t xml:space="preserve"> school average (</w:t>
            </w:r>
            <w:r w:rsidR="0048565E">
              <w:rPr>
                <w:sz w:val="22"/>
                <w:szCs w:val="22"/>
              </w:rPr>
              <w:t>95.3</w:t>
            </w:r>
            <w:r w:rsidRPr="0048565E">
              <w:rPr>
                <w:sz w:val="22"/>
                <w:szCs w:val="22"/>
              </w:rPr>
              <w:t>%</w:t>
            </w:r>
            <w:r>
              <w:rPr>
                <w:sz w:val="22"/>
                <w:szCs w:val="22"/>
              </w:rPr>
              <w:t xml:space="preserve"> - gov.uk – school performance tables)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42D09E2" w:rsidR="00E66558" w:rsidRDefault="009D71E8">
      <w:r>
        <w:t xml:space="preserve">Budgeted </w:t>
      </w:r>
      <w:r w:rsidRPr="00F149AC">
        <w:t>cost: £</w:t>
      </w:r>
      <w:r w:rsidR="00F149AC">
        <w:rPr>
          <w:i/>
          <w:iCs/>
        </w:rPr>
        <w:t>88,000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A5FE" w14:textId="77777777" w:rsidR="00CA1732" w:rsidRDefault="00E16129" w:rsidP="006E7E8B">
            <w:pPr>
              <w:pStyle w:val="TableRow"/>
              <w:ind w:left="0"/>
              <w:rPr>
                <w:sz w:val="22"/>
                <w:szCs w:val="22"/>
              </w:rPr>
            </w:pPr>
            <w:r w:rsidRPr="00396B8E">
              <w:rPr>
                <w:sz w:val="22"/>
                <w:szCs w:val="22"/>
              </w:rPr>
              <w:t>Ensure mathematical fluency</w:t>
            </w:r>
            <w:r w:rsidR="00396B8E" w:rsidRPr="00396B8E">
              <w:rPr>
                <w:sz w:val="22"/>
                <w:szCs w:val="22"/>
              </w:rPr>
              <w:t xml:space="preserve"> to support rapid progress for all pupils.</w:t>
            </w:r>
            <w:r w:rsidR="00D86856">
              <w:rPr>
                <w:sz w:val="22"/>
                <w:szCs w:val="22"/>
              </w:rPr>
              <w:t xml:space="preserve">  Develop Number</w:t>
            </w:r>
            <w:r w:rsidR="00C9225A">
              <w:rPr>
                <w:sz w:val="22"/>
                <w:szCs w:val="22"/>
              </w:rPr>
              <w:t xml:space="preserve"> </w:t>
            </w:r>
            <w:r w:rsidR="00D86856">
              <w:rPr>
                <w:sz w:val="22"/>
                <w:szCs w:val="22"/>
              </w:rPr>
              <w:t xml:space="preserve">sense in </w:t>
            </w:r>
            <w:r w:rsidR="003A0F5D">
              <w:rPr>
                <w:sz w:val="22"/>
                <w:szCs w:val="22"/>
              </w:rPr>
              <w:t>Years</w:t>
            </w:r>
            <w:r w:rsidR="00C9225A">
              <w:rPr>
                <w:sz w:val="22"/>
                <w:szCs w:val="22"/>
              </w:rPr>
              <w:t xml:space="preserve"> </w:t>
            </w:r>
            <w:r w:rsidR="0077415D">
              <w:rPr>
                <w:sz w:val="22"/>
                <w:szCs w:val="22"/>
              </w:rPr>
              <w:t>1</w:t>
            </w:r>
            <w:r w:rsidR="002F0025" w:rsidRPr="0077415D">
              <w:rPr>
                <w:sz w:val="22"/>
                <w:szCs w:val="22"/>
              </w:rPr>
              <w:t>-</w:t>
            </w:r>
            <w:r w:rsidR="0077415D">
              <w:rPr>
                <w:sz w:val="22"/>
                <w:szCs w:val="22"/>
              </w:rPr>
              <w:t>4</w:t>
            </w:r>
          </w:p>
          <w:p w14:paraId="2A7D551A" w14:textId="1474E9A2" w:rsidR="00E66558" w:rsidRPr="00396B8E" w:rsidRDefault="002F0025" w:rsidP="006E7E8B">
            <w:pPr>
              <w:pStyle w:val="TableRow"/>
              <w:ind w:left="0"/>
            </w:pPr>
            <w:r>
              <w:rPr>
                <w:sz w:val="22"/>
                <w:szCs w:val="22"/>
              </w:rPr>
              <w:t xml:space="preserve"> to teach, reinforce and retain </w:t>
            </w:r>
            <w:r w:rsidR="0043511D">
              <w:rPr>
                <w:sz w:val="22"/>
                <w:szCs w:val="22"/>
              </w:rPr>
              <w:t>key fluency skills.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D10C" w14:textId="516E0BFA" w:rsidR="008C214A" w:rsidRDefault="00F5105E">
            <w:pPr>
              <w:pStyle w:val="TableRowCentered"/>
              <w:jc w:val="left"/>
              <w:rPr>
                <w:sz w:val="22"/>
              </w:rPr>
            </w:pPr>
            <w:r>
              <w:rPr>
                <w:sz w:val="22"/>
              </w:rPr>
              <w:t>EEF Guidance report: Improving Mathematics in the Early Years and Key Stage 1.</w:t>
            </w:r>
          </w:p>
          <w:p w14:paraId="55A7E584" w14:textId="77777777" w:rsidR="00E66558" w:rsidRDefault="00217F58">
            <w:pPr>
              <w:pStyle w:val="TableRowCentered"/>
              <w:jc w:val="left"/>
              <w:rPr>
                <w:sz w:val="22"/>
              </w:rPr>
            </w:pPr>
            <w:hyperlink r:id="rId7" w:history="1">
              <w:r w:rsidR="008C214A" w:rsidRPr="008C214A">
                <w:rPr>
                  <w:rStyle w:val="Hyperlink"/>
                  <w:sz w:val="22"/>
                </w:rPr>
                <w:t>CLICK HERE.</w:t>
              </w:r>
            </w:hyperlink>
          </w:p>
          <w:p w14:paraId="5EBB3CD0" w14:textId="22C105C4" w:rsidR="00F5105E" w:rsidRDefault="00F5105E">
            <w:pPr>
              <w:pStyle w:val="TableRowCentered"/>
              <w:jc w:val="left"/>
              <w:rPr>
                <w:sz w:val="22"/>
              </w:rPr>
            </w:pPr>
          </w:p>
          <w:p w14:paraId="6206EC12" w14:textId="6421EE69" w:rsidR="003E7219" w:rsidRDefault="003E7219">
            <w:pPr>
              <w:pStyle w:val="TableRowCentered"/>
              <w:jc w:val="left"/>
              <w:rPr>
                <w:sz w:val="22"/>
              </w:rPr>
            </w:pPr>
            <w:r>
              <w:rPr>
                <w:sz w:val="22"/>
              </w:rPr>
              <w:t xml:space="preserve">EEF Guidance report: </w:t>
            </w:r>
            <w:r w:rsidR="00811EBA">
              <w:rPr>
                <w:sz w:val="22"/>
              </w:rPr>
              <w:t>Improving Mathematics in the Key Stages 2 and 3.</w:t>
            </w:r>
          </w:p>
          <w:p w14:paraId="2A7D551B" w14:textId="62F9C32A" w:rsidR="00F5105E" w:rsidRDefault="00217F58">
            <w:pPr>
              <w:pStyle w:val="TableRowCentered"/>
              <w:jc w:val="left"/>
              <w:rPr>
                <w:sz w:val="22"/>
              </w:rPr>
            </w:pPr>
            <w:hyperlink r:id="rId8" w:history="1">
              <w:r w:rsidR="003E7219" w:rsidRPr="003E7219">
                <w:rPr>
                  <w:rStyle w:val="Hyperlink"/>
                  <w:sz w:val="22"/>
                </w:rPr>
                <w:t>CLICK HERE.</w:t>
              </w:r>
            </w:hyperlink>
            <w:r w:rsidR="003E7219">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969823E" w:rsidR="00E66558" w:rsidRDefault="00801199">
            <w:pPr>
              <w:pStyle w:val="TableRowCentered"/>
              <w:jc w:val="left"/>
              <w:rPr>
                <w:sz w:val="22"/>
              </w:rPr>
            </w:pPr>
            <w:r>
              <w:rPr>
                <w:sz w:val="22"/>
              </w:rPr>
              <w:t>1, 2</w:t>
            </w:r>
            <w:r w:rsidR="007930DC">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93B8C37" w:rsidR="00E66558" w:rsidRPr="00843318" w:rsidRDefault="00EA3B08">
            <w:pPr>
              <w:pStyle w:val="TableRow"/>
              <w:rPr>
                <w:iCs/>
                <w:sz w:val="22"/>
              </w:rPr>
            </w:pPr>
            <w:r w:rsidRPr="00843318">
              <w:rPr>
                <w:iCs/>
                <w:sz w:val="22"/>
              </w:rPr>
              <w:t>CPD: Nuffield Early Language</w:t>
            </w:r>
            <w:r w:rsidR="00FF0C3D" w:rsidRPr="00843318">
              <w:rPr>
                <w:iCs/>
                <w:sz w:val="22"/>
              </w:rPr>
              <w:t>; Subject leadership; phase leadership.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F685A" w14:textId="24E080DA" w:rsidR="00E66558" w:rsidRDefault="000D7AD1">
            <w:pPr>
              <w:pStyle w:val="TableRowCentered"/>
              <w:jc w:val="left"/>
              <w:rPr>
                <w:sz w:val="22"/>
              </w:rPr>
            </w:pPr>
            <w:r>
              <w:rPr>
                <w:sz w:val="22"/>
              </w:rPr>
              <w:t>EEF Project: Nuffield Early Language Intervention</w:t>
            </w:r>
            <w:r w:rsidR="00404C2D">
              <w:rPr>
                <w:sz w:val="22"/>
              </w:rPr>
              <w:t>.</w:t>
            </w:r>
          </w:p>
          <w:p w14:paraId="7001A07F" w14:textId="77777777" w:rsidR="000D7AD1" w:rsidRDefault="00217F58">
            <w:pPr>
              <w:pStyle w:val="TableRowCentered"/>
              <w:jc w:val="left"/>
              <w:rPr>
                <w:sz w:val="22"/>
              </w:rPr>
            </w:pPr>
            <w:hyperlink r:id="rId9" w:anchor=":~:text=Nuffield%20Early%20Language%20Intervention.%20Update%20%28Aug%202020%29%3A%20The,%C2%A31bn%20Covid-19%20%27catch-up%27%20package%20announced%20in%20June%202020." w:history="1">
              <w:r w:rsidR="00ED2954" w:rsidRPr="00ED2954">
                <w:rPr>
                  <w:rStyle w:val="Hyperlink"/>
                  <w:sz w:val="22"/>
                </w:rPr>
                <w:t>CLICK HERE.</w:t>
              </w:r>
            </w:hyperlink>
          </w:p>
          <w:p w14:paraId="24E3335C" w14:textId="77777777" w:rsidR="008E167A" w:rsidRDefault="008E167A">
            <w:pPr>
              <w:pStyle w:val="TableRowCentered"/>
              <w:jc w:val="left"/>
              <w:rPr>
                <w:sz w:val="22"/>
              </w:rPr>
            </w:pPr>
          </w:p>
          <w:p w14:paraId="5CB489B2" w14:textId="77777777" w:rsidR="00BC4807" w:rsidRDefault="008E167A">
            <w:pPr>
              <w:pStyle w:val="TableRowCentered"/>
              <w:jc w:val="left"/>
              <w:rPr>
                <w:sz w:val="22"/>
              </w:rPr>
            </w:pPr>
            <w:r>
              <w:rPr>
                <w:sz w:val="22"/>
              </w:rPr>
              <w:t>Teaching and Learning Toolkit – Oral language Interventions</w:t>
            </w:r>
            <w:r w:rsidR="00404C2D">
              <w:rPr>
                <w:sz w:val="22"/>
              </w:rPr>
              <w:t>.</w:t>
            </w:r>
          </w:p>
          <w:p w14:paraId="58C2A351" w14:textId="75E13B80" w:rsidR="008E167A" w:rsidRDefault="00217F58">
            <w:pPr>
              <w:pStyle w:val="TableRowCentered"/>
              <w:jc w:val="left"/>
              <w:rPr>
                <w:sz w:val="22"/>
              </w:rPr>
            </w:pPr>
            <w:hyperlink r:id="rId10" w:history="1">
              <w:r w:rsidR="00BC4807" w:rsidRPr="00BC4807">
                <w:rPr>
                  <w:rStyle w:val="Hyperlink"/>
                  <w:sz w:val="22"/>
                </w:rPr>
                <w:t>CLICK HERE.</w:t>
              </w:r>
            </w:hyperlink>
          </w:p>
          <w:p w14:paraId="2A7D551F" w14:textId="692C04D7" w:rsidR="00BC4807" w:rsidRDefault="00BC480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56D4804" w:rsidR="00E66558" w:rsidRDefault="008842BF">
            <w:pPr>
              <w:pStyle w:val="TableRowCentered"/>
              <w:jc w:val="left"/>
              <w:rPr>
                <w:sz w:val="22"/>
              </w:rPr>
            </w:pPr>
            <w:r>
              <w:rPr>
                <w:sz w:val="22"/>
              </w:rPr>
              <w:t>1,2</w:t>
            </w:r>
            <w:r w:rsidR="007930DC">
              <w:rPr>
                <w:sz w:val="22"/>
              </w:rPr>
              <w:t>,4</w:t>
            </w:r>
          </w:p>
        </w:tc>
      </w:tr>
      <w:tr w:rsidR="00D55F99" w14:paraId="0A454B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C125" w14:textId="3191C7BF" w:rsidR="00D55F99" w:rsidRPr="00843318" w:rsidRDefault="00AE225D">
            <w:pPr>
              <w:pStyle w:val="TableRow"/>
              <w:rPr>
                <w:iCs/>
                <w:sz w:val="22"/>
              </w:rPr>
            </w:pPr>
            <w:r>
              <w:rPr>
                <w:iCs/>
                <w:sz w:val="22"/>
              </w:rPr>
              <w:t>Improve the effective provision for SEND pupils across the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B3225" w14:textId="77777777" w:rsidR="00A725D7" w:rsidRDefault="00AE225D">
            <w:pPr>
              <w:pStyle w:val="TableRowCentered"/>
              <w:jc w:val="left"/>
              <w:rPr>
                <w:sz w:val="22"/>
              </w:rPr>
            </w:pPr>
            <w:r>
              <w:rPr>
                <w:sz w:val="22"/>
              </w:rPr>
              <w:t>EEF Guidance report</w:t>
            </w:r>
            <w:r w:rsidR="00F9501A">
              <w:rPr>
                <w:sz w:val="22"/>
              </w:rPr>
              <w:t>: Special Educational Needs in Mainstream schools.</w:t>
            </w:r>
          </w:p>
          <w:p w14:paraId="138A698C" w14:textId="7A32CC0E" w:rsidR="00D55F99" w:rsidRDefault="00217F58">
            <w:pPr>
              <w:pStyle w:val="TableRowCentered"/>
              <w:jc w:val="left"/>
              <w:rPr>
                <w:sz w:val="22"/>
              </w:rPr>
            </w:pPr>
            <w:hyperlink r:id="rId11" w:history="1">
              <w:r w:rsidR="00A725D7" w:rsidRPr="00A725D7">
                <w:rPr>
                  <w:rStyle w:val="Hyperlink"/>
                  <w:sz w:val="22"/>
                </w:rPr>
                <w:t>CLICK HERE.</w:t>
              </w:r>
            </w:hyperlink>
          </w:p>
          <w:p w14:paraId="6FADBDB7" w14:textId="77777777" w:rsidR="0006142B" w:rsidRDefault="0006142B">
            <w:pPr>
              <w:pStyle w:val="TableRowCentered"/>
              <w:jc w:val="left"/>
              <w:rPr>
                <w:sz w:val="22"/>
              </w:rPr>
            </w:pPr>
          </w:p>
          <w:p w14:paraId="097B01E7" w14:textId="7753FE9A" w:rsidR="00F9501A" w:rsidRDefault="00F9501A">
            <w:pPr>
              <w:pStyle w:val="TableRowCentered"/>
              <w:jc w:val="left"/>
              <w:rPr>
                <w:sz w:val="22"/>
              </w:rPr>
            </w:pPr>
            <w:r>
              <w:rPr>
                <w:sz w:val="22"/>
              </w:rPr>
              <w:t>EEF Guidance report: Making Best Use of Teaching Assistants.</w:t>
            </w:r>
          </w:p>
          <w:p w14:paraId="6C5B5427" w14:textId="24D6F3D3" w:rsidR="0006142B" w:rsidRDefault="00217F58">
            <w:pPr>
              <w:pStyle w:val="TableRowCentered"/>
              <w:jc w:val="left"/>
              <w:rPr>
                <w:sz w:val="22"/>
              </w:rPr>
            </w:pPr>
            <w:hyperlink r:id="rId12" w:anchor=":~:text=Teaching%20assistants%20should%20not%20be%20used%20as%20substitute,direction%20to%20deliver%20high-quality%20one-to-one%20and%20small-group%20support." w:history="1">
              <w:r w:rsidR="003452F5" w:rsidRPr="003452F5">
                <w:rPr>
                  <w:rStyle w:val="Hyperlink"/>
                  <w:sz w:val="22"/>
                </w:rPr>
                <w:t>CLICK HERE.</w:t>
              </w:r>
            </w:hyperlink>
          </w:p>
          <w:p w14:paraId="65549B99" w14:textId="77777777" w:rsidR="003452F5" w:rsidRDefault="003452F5">
            <w:pPr>
              <w:pStyle w:val="TableRowCentered"/>
              <w:jc w:val="left"/>
              <w:rPr>
                <w:sz w:val="22"/>
              </w:rPr>
            </w:pPr>
          </w:p>
          <w:p w14:paraId="76B5384C" w14:textId="77777777" w:rsidR="008A7F16" w:rsidRDefault="00F5318C">
            <w:pPr>
              <w:pStyle w:val="TableRowCentered"/>
              <w:jc w:val="left"/>
              <w:rPr>
                <w:sz w:val="22"/>
              </w:rPr>
            </w:pPr>
            <w:r>
              <w:rPr>
                <w:sz w:val="22"/>
              </w:rPr>
              <w:t>Teaching and Learning Toolkit – Teaching Assistant Interventions.</w:t>
            </w:r>
          </w:p>
          <w:p w14:paraId="65782B66" w14:textId="414106F8" w:rsidR="00F9501A" w:rsidRDefault="00217F58">
            <w:pPr>
              <w:pStyle w:val="TableRowCentered"/>
              <w:jc w:val="left"/>
              <w:rPr>
                <w:sz w:val="22"/>
              </w:rPr>
            </w:pPr>
            <w:hyperlink r:id="rId13" w:history="1">
              <w:r w:rsidR="008A7F16" w:rsidRPr="008A7F16">
                <w:rPr>
                  <w:rStyle w:val="Hyperlink"/>
                  <w:sz w:val="22"/>
                </w:rPr>
                <w:t>CLICK HERE.</w:t>
              </w:r>
            </w:hyperlink>
          </w:p>
          <w:p w14:paraId="759225F5" w14:textId="77777777" w:rsidR="008A7F16" w:rsidRDefault="008A7F16">
            <w:pPr>
              <w:pStyle w:val="TableRowCentered"/>
              <w:jc w:val="left"/>
              <w:rPr>
                <w:sz w:val="22"/>
              </w:rPr>
            </w:pPr>
          </w:p>
          <w:p w14:paraId="1609A413" w14:textId="06B83FE7" w:rsidR="0006142B" w:rsidRDefault="0006142B">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83BA8" w14:textId="4C5701CC" w:rsidR="00D55F99" w:rsidRDefault="00073DB0">
            <w:pPr>
              <w:pStyle w:val="TableRowCentered"/>
              <w:jc w:val="left"/>
              <w:rPr>
                <w:sz w:val="22"/>
              </w:rPr>
            </w:pPr>
            <w:r>
              <w:rPr>
                <w:sz w:val="22"/>
              </w:rPr>
              <w:t>1, 2, 3</w:t>
            </w:r>
            <w:r w:rsidR="0006142B">
              <w:rPr>
                <w:sz w:val="22"/>
              </w:rPr>
              <w:t>,</w:t>
            </w:r>
            <w:r>
              <w:rPr>
                <w:sz w:val="22"/>
              </w:rPr>
              <w:t xml:space="preserve"> </w:t>
            </w:r>
            <w:r w:rsidR="0049742F">
              <w:rPr>
                <w:sz w:val="22"/>
              </w:rPr>
              <w:t>6</w:t>
            </w:r>
          </w:p>
        </w:tc>
      </w:tr>
      <w:tr w:rsidR="00D55F99" w14:paraId="025E4C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B263D" w14:textId="13E8A06E" w:rsidR="00D55F99" w:rsidRPr="00843318" w:rsidRDefault="00853630">
            <w:pPr>
              <w:pStyle w:val="TableRow"/>
              <w:rPr>
                <w:iCs/>
                <w:sz w:val="22"/>
              </w:rPr>
            </w:pPr>
            <w:r>
              <w:rPr>
                <w:iCs/>
                <w:sz w:val="22"/>
              </w:rPr>
              <w:t>Develop language acquisition</w:t>
            </w:r>
            <w:r w:rsidR="00F5514F">
              <w:rPr>
                <w:iCs/>
                <w:sz w:val="22"/>
              </w:rPr>
              <w:t xml:space="preserve"> for all pupils.  Access to </w:t>
            </w:r>
            <w:r w:rsidR="00266D92">
              <w:rPr>
                <w:iCs/>
                <w:sz w:val="22"/>
              </w:rPr>
              <w:t>age-appropriate</w:t>
            </w:r>
            <w:r w:rsidR="00F5514F">
              <w:rPr>
                <w:iCs/>
                <w:sz w:val="22"/>
              </w:rPr>
              <w:t xml:space="preserve"> texts, suitable for </w:t>
            </w:r>
            <w:r w:rsidR="00CE0697">
              <w:rPr>
                <w:iCs/>
                <w:sz w:val="22"/>
              </w:rPr>
              <w:t xml:space="preserve">stages of learning; ensure fluent </w:t>
            </w:r>
            <w:r w:rsidR="00CE0697">
              <w:rPr>
                <w:iCs/>
                <w:sz w:val="22"/>
              </w:rPr>
              <w:lastRenderedPageBreak/>
              <w:t>reading and comprehension skills and further embed a culture and love of reading.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15BD8" w14:textId="62BEEBD7" w:rsidR="00D55F99" w:rsidRDefault="004D7CF7">
            <w:pPr>
              <w:pStyle w:val="TableRowCentered"/>
              <w:jc w:val="left"/>
              <w:rPr>
                <w:sz w:val="22"/>
              </w:rPr>
            </w:pPr>
            <w:r>
              <w:rPr>
                <w:sz w:val="22"/>
              </w:rPr>
              <w:lastRenderedPageBreak/>
              <w:t>EE</w:t>
            </w:r>
            <w:r w:rsidR="00FC4C64">
              <w:rPr>
                <w:sz w:val="22"/>
              </w:rPr>
              <w:t>F</w:t>
            </w:r>
            <w:r>
              <w:rPr>
                <w:sz w:val="22"/>
              </w:rPr>
              <w:t xml:space="preserve"> Guidance report: Preparing for literacy.</w:t>
            </w:r>
          </w:p>
          <w:p w14:paraId="516A87CC" w14:textId="60940AC6" w:rsidR="00FC4C64" w:rsidRDefault="00217F58">
            <w:pPr>
              <w:pStyle w:val="TableRowCentered"/>
              <w:jc w:val="left"/>
              <w:rPr>
                <w:sz w:val="22"/>
              </w:rPr>
            </w:pPr>
            <w:hyperlink r:id="rId14" w:history="1">
              <w:r w:rsidR="001A3388" w:rsidRPr="001A3388">
                <w:rPr>
                  <w:rStyle w:val="Hyperlink"/>
                  <w:sz w:val="22"/>
                </w:rPr>
                <w:t>CLICK HERE.</w:t>
              </w:r>
            </w:hyperlink>
          </w:p>
          <w:p w14:paraId="3354F916" w14:textId="77777777" w:rsidR="001A3388" w:rsidRDefault="001A3388">
            <w:pPr>
              <w:pStyle w:val="TableRowCentered"/>
              <w:jc w:val="left"/>
              <w:rPr>
                <w:sz w:val="22"/>
              </w:rPr>
            </w:pPr>
          </w:p>
          <w:p w14:paraId="3A2B99BA" w14:textId="11EC5A68" w:rsidR="004D7CF7" w:rsidRDefault="004D7CF7">
            <w:pPr>
              <w:pStyle w:val="TableRowCentered"/>
              <w:jc w:val="left"/>
              <w:rPr>
                <w:sz w:val="22"/>
              </w:rPr>
            </w:pPr>
            <w:r>
              <w:rPr>
                <w:sz w:val="22"/>
              </w:rPr>
              <w:lastRenderedPageBreak/>
              <w:t>EEF Guidance report: Improving Literacy at Key Stage 1.</w:t>
            </w:r>
          </w:p>
          <w:p w14:paraId="08E9B42C" w14:textId="75F2E02E" w:rsidR="004D7CF7" w:rsidRDefault="00217F58">
            <w:pPr>
              <w:pStyle w:val="TableRowCentered"/>
              <w:jc w:val="left"/>
              <w:rPr>
                <w:sz w:val="22"/>
              </w:rPr>
            </w:pPr>
            <w:hyperlink r:id="rId15" w:history="1">
              <w:r w:rsidR="0048347E" w:rsidRPr="0048347E">
                <w:rPr>
                  <w:rStyle w:val="Hyperlink"/>
                  <w:sz w:val="22"/>
                </w:rPr>
                <w:t>CLICK HERE.</w:t>
              </w:r>
            </w:hyperlink>
          </w:p>
          <w:p w14:paraId="018F3BDA" w14:textId="77777777" w:rsidR="0048347E" w:rsidRDefault="0048347E">
            <w:pPr>
              <w:pStyle w:val="TableRowCentered"/>
              <w:jc w:val="left"/>
              <w:rPr>
                <w:sz w:val="22"/>
              </w:rPr>
            </w:pPr>
          </w:p>
          <w:p w14:paraId="54C1B775" w14:textId="77777777" w:rsidR="00E729DD" w:rsidRDefault="00FC4C64" w:rsidP="00E729DD">
            <w:pPr>
              <w:pStyle w:val="TableRowCentered"/>
              <w:jc w:val="left"/>
              <w:rPr>
                <w:sz w:val="22"/>
              </w:rPr>
            </w:pPr>
            <w:r>
              <w:rPr>
                <w:sz w:val="22"/>
              </w:rPr>
              <w:t>EEF Guidance report: Improving Literacy at Key Stage 2</w:t>
            </w:r>
            <w:r w:rsidR="00E729DD">
              <w:rPr>
                <w:sz w:val="22"/>
              </w:rPr>
              <w:t>.</w:t>
            </w:r>
          </w:p>
          <w:p w14:paraId="6941E534" w14:textId="77777777" w:rsidR="004D7CF7" w:rsidRDefault="00217F58" w:rsidP="00E729DD">
            <w:pPr>
              <w:pStyle w:val="TableRowCentered"/>
              <w:jc w:val="left"/>
              <w:rPr>
                <w:sz w:val="22"/>
              </w:rPr>
            </w:pPr>
            <w:hyperlink r:id="rId16" w:history="1">
              <w:r w:rsidR="004C6B32" w:rsidRPr="004C6B32">
                <w:rPr>
                  <w:rStyle w:val="Hyperlink"/>
                  <w:sz w:val="22"/>
                </w:rPr>
                <w:t>CLICK HERE.</w:t>
              </w:r>
            </w:hyperlink>
          </w:p>
          <w:p w14:paraId="163EBF7B" w14:textId="77777777" w:rsidR="00E729DD" w:rsidRDefault="00E729DD" w:rsidP="00E729DD">
            <w:pPr>
              <w:pStyle w:val="TableRowCentered"/>
              <w:jc w:val="left"/>
              <w:rPr>
                <w:sz w:val="22"/>
              </w:rPr>
            </w:pPr>
          </w:p>
          <w:p w14:paraId="1CEEFE41" w14:textId="77777777" w:rsidR="0090234D" w:rsidRDefault="00123709" w:rsidP="00E729DD">
            <w:pPr>
              <w:pStyle w:val="TableRowCentered"/>
              <w:jc w:val="left"/>
              <w:rPr>
                <w:sz w:val="22"/>
              </w:rPr>
            </w:pPr>
            <w:r>
              <w:rPr>
                <w:sz w:val="22"/>
              </w:rPr>
              <w:t>The Reading Framework (DFE</w:t>
            </w:r>
            <w:r w:rsidR="00011B51">
              <w:rPr>
                <w:sz w:val="22"/>
              </w:rPr>
              <w:t>)</w:t>
            </w:r>
            <w:r w:rsidR="0090234D">
              <w:rPr>
                <w:sz w:val="22"/>
              </w:rPr>
              <w:t>.</w:t>
            </w:r>
          </w:p>
          <w:p w14:paraId="7F8A5AFF" w14:textId="179CC374" w:rsidR="00E729DD" w:rsidRDefault="00217F58" w:rsidP="00E729DD">
            <w:pPr>
              <w:pStyle w:val="TableRowCentered"/>
              <w:jc w:val="left"/>
              <w:rPr>
                <w:sz w:val="22"/>
              </w:rPr>
            </w:pPr>
            <w:hyperlink r:id="rId17" w:history="1">
              <w:r w:rsidR="00011B51" w:rsidRPr="00011B51">
                <w:rPr>
                  <w:rStyle w:val="Hyperlink"/>
                  <w:sz w:val="22"/>
                </w:rPr>
                <w:t>CLICK HERE.</w:t>
              </w:r>
            </w:hyperlink>
          </w:p>
          <w:p w14:paraId="489860B0" w14:textId="77777777" w:rsidR="00F64E39" w:rsidRDefault="00F64E39" w:rsidP="00E729DD">
            <w:pPr>
              <w:pStyle w:val="TableRowCentered"/>
              <w:jc w:val="left"/>
              <w:rPr>
                <w:sz w:val="22"/>
              </w:rPr>
            </w:pPr>
          </w:p>
          <w:p w14:paraId="5CE4EC86" w14:textId="77777777" w:rsidR="00B30405" w:rsidRDefault="00123709" w:rsidP="00E729DD">
            <w:pPr>
              <w:pStyle w:val="TableRowCentered"/>
              <w:jc w:val="left"/>
              <w:rPr>
                <w:sz w:val="22"/>
              </w:rPr>
            </w:pPr>
            <w:r>
              <w:rPr>
                <w:sz w:val="22"/>
              </w:rPr>
              <w:t xml:space="preserve">Teaching and </w:t>
            </w:r>
            <w:r w:rsidR="00A82076">
              <w:rPr>
                <w:sz w:val="22"/>
              </w:rPr>
              <w:t>Learning</w:t>
            </w:r>
            <w:r>
              <w:rPr>
                <w:sz w:val="22"/>
              </w:rPr>
              <w:t xml:space="preserve"> Toolkit – Reading Comprehension strategies.</w:t>
            </w:r>
          </w:p>
          <w:p w14:paraId="1E7C5511" w14:textId="1885B7B2" w:rsidR="00123709" w:rsidRDefault="00217F58" w:rsidP="00E729DD">
            <w:pPr>
              <w:pStyle w:val="TableRowCentered"/>
              <w:jc w:val="left"/>
              <w:rPr>
                <w:sz w:val="22"/>
              </w:rPr>
            </w:pPr>
            <w:hyperlink r:id="rId18" w:history="1">
              <w:r w:rsidR="00B30405" w:rsidRPr="00B30405">
                <w:rPr>
                  <w:rStyle w:val="Hyperlink"/>
                  <w:sz w:val="22"/>
                </w:rPr>
                <w:t>CLICK HERE.</w:t>
              </w:r>
            </w:hyperlink>
          </w:p>
          <w:p w14:paraId="59666CF5" w14:textId="77777777" w:rsidR="00123709" w:rsidRDefault="00123709" w:rsidP="00E729DD">
            <w:pPr>
              <w:pStyle w:val="TableRowCentered"/>
              <w:jc w:val="left"/>
              <w:rPr>
                <w:sz w:val="22"/>
              </w:rPr>
            </w:pPr>
          </w:p>
          <w:p w14:paraId="03D757FB" w14:textId="77777777" w:rsidR="00747A03" w:rsidRDefault="00A82076" w:rsidP="00E729DD">
            <w:pPr>
              <w:pStyle w:val="TableRowCentered"/>
              <w:jc w:val="left"/>
              <w:rPr>
                <w:sz w:val="22"/>
              </w:rPr>
            </w:pPr>
            <w:r>
              <w:rPr>
                <w:sz w:val="22"/>
              </w:rPr>
              <w:t>Teaching and Learning toolkit – Phonics.</w:t>
            </w:r>
          </w:p>
          <w:p w14:paraId="48A654BD" w14:textId="7F7FEB9D" w:rsidR="00123709" w:rsidRDefault="00217F58" w:rsidP="00E729DD">
            <w:pPr>
              <w:pStyle w:val="TableRowCentered"/>
              <w:jc w:val="left"/>
              <w:rPr>
                <w:sz w:val="22"/>
              </w:rPr>
            </w:pPr>
            <w:hyperlink r:id="rId19" w:history="1">
              <w:r w:rsidR="00747A03" w:rsidRPr="00747A03">
                <w:rPr>
                  <w:rStyle w:val="Hyperlink"/>
                  <w:sz w:val="22"/>
                </w:rPr>
                <w:t>C</w:t>
              </w:r>
              <w:r w:rsidR="00C573E5">
                <w:rPr>
                  <w:rStyle w:val="Hyperlink"/>
                  <w:sz w:val="22"/>
                </w:rPr>
                <w:t>LICK</w:t>
              </w:r>
              <w:r w:rsidR="00747A03" w:rsidRPr="00747A03">
                <w:rPr>
                  <w:rStyle w:val="Hyperlink"/>
                  <w:sz w:val="22"/>
                </w:rPr>
                <w:t xml:space="preserve"> HERE.</w:t>
              </w:r>
            </w:hyperlink>
          </w:p>
          <w:p w14:paraId="5276AF4D" w14:textId="10452B99" w:rsidR="00747A03" w:rsidRDefault="00747A03" w:rsidP="00E729DD">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FFF34" w14:textId="5AC621F8" w:rsidR="00D55F99" w:rsidRDefault="00266D92">
            <w:pPr>
              <w:pStyle w:val="TableRowCentered"/>
              <w:jc w:val="left"/>
              <w:rPr>
                <w:sz w:val="22"/>
              </w:rPr>
            </w:pPr>
            <w:r>
              <w:rPr>
                <w:sz w:val="22"/>
              </w:rPr>
              <w:lastRenderedPageBreak/>
              <w:t>1, 4, 5</w:t>
            </w:r>
          </w:p>
        </w:tc>
      </w:tr>
    </w:tbl>
    <w:p w14:paraId="0147C64A" w14:textId="77777777" w:rsidR="00E729DD" w:rsidRDefault="00E729DD">
      <w:pPr>
        <w:rPr>
          <w:b/>
          <w:bCs/>
          <w:color w:val="104F75"/>
          <w:sz w:val="28"/>
          <w:szCs w:val="28"/>
        </w:rPr>
      </w:pPr>
    </w:p>
    <w:p w14:paraId="30CDEF6B" w14:textId="77777777" w:rsidR="00E729DD" w:rsidRDefault="00E729DD">
      <w:pPr>
        <w:rPr>
          <w:b/>
          <w:bCs/>
          <w:color w:val="104F75"/>
          <w:sz w:val="28"/>
          <w:szCs w:val="28"/>
        </w:rPr>
      </w:pPr>
    </w:p>
    <w:p w14:paraId="2A7D5523" w14:textId="398EA7F3"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A79CDB7" w:rsidR="00E66558" w:rsidRDefault="009D71E8">
      <w:r>
        <w:t xml:space="preserve">Budgeted </w:t>
      </w:r>
      <w:r w:rsidRPr="00B64AED">
        <w:t xml:space="preserve">cost: £ </w:t>
      </w:r>
      <w:r w:rsidR="00B64AED">
        <w:rPr>
          <w:i/>
          <w:iCs/>
        </w:rPr>
        <w:t>54,000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BBF9F61" w:rsidR="00E66558" w:rsidRDefault="00A94E89">
            <w:pPr>
              <w:pStyle w:val="TableRow"/>
            </w:pPr>
            <w:r>
              <w:t>Small group tuition led by experienced teaching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A997" w14:textId="77777777" w:rsidR="001D249D" w:rsidRDefault="0067495D" w:rsidP="00E94EBC">
            <w:pPr>
              <w:pStyle w:val="TableRowCentered"/>
              <w:jc w:val="left"/>
              <w:rPr>
                <w:sz w:val="22"/>
              </w:rPr>
            </w:pPr>
            <w:r>
              <w:rPr>
                <w:sz w:val="22"/>
              </w:rPr>
              <w:t>Teaching and Learning Toolkit</w:t>
            </w:r>
            <w:r w:rsidR="00843318">
              <w:rPr>
                <w:sz w:val="22"/>
              </w:rPr>
              <w:t xml:space="preserve"> – small group tuition.</w:t>
            </w:r>
            <w:r w:rsidR="00E94EBC">
              <w:rPr>
                <w:sz w:val="22"/>
              </w:rPr>
              <w:t xml:space="preserve"> </w:t>
            </w:r>
          </w:p>
          <w:p w14:paraId="2A7D552A" w14:textId="5531E811" w:rsidR="00843318" w:rsidRDefault="00217F58" w:rsidP="00E94EBC">
            <w:pPr>
              <w:pStyle w:val="TableRowCentered"/>
              <w:jc w:val="left"/>
              <w:rPr>
                <w:sz w:val="22"/>
              </w:rPr>
            </w:pPr>
            <w:hyperlink r:id="rId20" w:history="1">
              <w:r w:rsidR="00EC3C17" w:rsidRPr="00EC3C17">
                <w:rPr>
                  <w:rStyle w:val="Hyperlink"/>
                  <w:sz w:val="22"/>
                </w:rPr>
                <w:t>CLICK HERE FOR INFORMATION.</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2B45EC1" w:rsidR="00E66558" w:rsidRDefault="0080566B">
            <w:pPr>
              <w:pStyle w:val="TableRowCentered"/>
              <w:jc w:val="left"/>
              <w:rPr>
                <w:sz w:val="22"/>
              </w:rPr>
            </w:pPr>
            <w:r>
              <w:rPr>
                <w:sz w:val="22"/>
              </w:rPr>
              <w:t>1</w:t>
            </w:r>
            <w:r>
              <w:t>, 2, 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0DB47E7" w:rsidR="00E66558" w:rsidRDefault="00A94E89">
            <w:pPr>
              <w:pStyle w:val="TableRow"/>
              <w:rPr>
                <w:i/>
                <w:sz w:val="22"/>
              </w:rPr>
            </w:pPr>
            <w:r w:rsidRPr="00843318">
              <w:rPr>
                <w:iCs/>
                <w:sz w:val="22"/>
              </w:rPr>
              <w:t>Nuffield</w:t>
            </w:r>
            <w:r w:rsidR="007E3D1C" w:rsidRPr="00843318">
              <w:rPr>
                <w:iCs/>
                <w:sz w:val="22"/>
              </w:rPr>
              <w:t xml:space="preserve"> Early Language Intervention: small group and individual sessions to develop </w:t>
            </w:r>
            <w:r w:rsidR="003155A6" w:rsidRPr="00843318">
              <w:rPr>
                <w:iCs/>
                <w:sz w:val="22"/>
              </w:rPr>
              <w:t>vocabulary and narrative skills in reception aged pupils</w:t>
            </w:r>
            <w:r w:rsidR="003155A6">
              <w:rPr>
                <w:i/>
                <w:sz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1712" w14:textId="77777777" w:rsidR="00E66558" w:rsidRDefault="003155A6">
            <w:pPr>
              <w:pStyle w:val="TableRowCentered"/>
              <w:jc w:val="left"/>
              <w:rPr>
                <w:sz w:val="22"/>
              </w:rPr>
            </w:pPr>
            <w:r>
              <w:rPr>
                <w:sz w:val="22"/>
              </w:rPr>
              <w:t>EEF Project: Nuffield Early Language Intervention</w:t>
            </w:r>
            <w:r w:rsidR="00B377EF">
              <w:rPr>
                <w:sz w:val="22"/>
              </w:rPr>
              <w:t>.</w:t>
            </w:r>
          </w:p>
          <w:p w14:paraId="15761E17" w14:textId="3E83B03A" w:rsidR="00B377EF" w:rsidRDefault="00217F58" w:rsidP="00E94EBC">
            <w:pPr>
              <w:pStyle w:val="TableRowCentered"/>
              <w:jc w:val="left"/>
              <w:rPr>
                <w:sz w:val="22"/>
              </w:rPr>
            </w:pPr>
            <w:hyperlink r:id="rId21" w:anchor=":~:text=Nuffield%20Early%20Language%20Intervention.%20Update%20%28Aug%202020%29%3A%20The,%C2%A31bn%20Covid-19%20%27catch-up%27%20package%20announced%20in%20June%202020." w:history="1">
              <w:r w:rsidR="00E94EBC" w:rsidRPr="003463B7">
                <w:rPr>
                  <w:rStyle w:val="Hyperlink"/>
                  <w:sz w:val="22"/>
                </w:rPr>
                <w:t>C</w:t>
              </w:r>
              <w:r w:rsidR="00E94EBC">
                <w:rPr>
                  <w:rStyle w:val="Hyperlink"/>
                  <w:sz w:val="22"/>
                </w:rPr>
                <w:t>LICK</w:t>
              </w:r>
              <w:r w:rsidR="00E94EBC" w:rsidRPr="003463B7">
                <w:rPr>
                  <w:rStyle w:val="Hyperlink"/>
                  <w:sz w:val="22"/>
                </w:rPr>
                <w:t xml:space="preserve"> HERE FOR INFORMATION</w:t>
              </w:r>
            </w:hyperlink>
          </w:p>
          <w:p w14:paraId="2A7D552E" w14:textId="6BC591C5" w:rsidR="00BC6D43" w:rsidRDefault="00BC6D4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316AF3F" w:rsidR="00E66558" w:rsidRDefault="00B00104">
            <w:pPr>
              <w:pStyle w:val="TableRowCentered"/>
              <w:jc w:val="left"/>
              <w:rPr>
                <w:sz w:val="22"/>
              </w:rPr>
            </w:pPr>
            <w:r>
              <w:rPr>
                <w:sz w:val="22"/>
              </w:rPr>
              <w:t>1</w:t>
            </w:r>
            <w:r>
              <w:t>, 5</w:t>
            </w:r>
          </w:p>
        </w:tc>
      </w:tr>
    </w:tbl>
    <w:p w14:paraId="2A7D5531" w14:textId="77777777" w:rsidR="00E66558" w:rsidRDefault="00E66558">
      <w:pPr>
        <w:spacing w:after="0"/>
        <w:rPr>
          <w:b/>
          <w:color w:val="104F75"/>
          <w:sz w:val="28"/>
          <w:szCs w:val="28"/>
        </w:rPr>
      </w:pPr>
    </w:p>
    <w:p w14:paraId="0E8648BE" w14:textId="77777777" w:rsidR="00E90B21" w:rsidRDefault="00E90B21">
      <w:pPr>
        <w:rPr>
          <w:b/>
          <w:color w:val="104F75"/>
          <w:sz w:val="28"/>
          <w:szCs w:val="28"/>
        </w:rPr>
      </w:pPr>
    </w:p>
    <w:p w14:paraId="57BAC99A" w14:textId="77777777" w:rsidR="00E90B21" w:rsidRDefault="00E90B21">
      <w:pPr>
        <w:rPr>
          <w:b/>
          <w:color w:val="104F75"/>
          <w:sz w:val="28"/>
          <w:szCs w:val="28"/>
        </w:rPr>
      </w:pPr>
    </w:p>
    <w:p w14:paraId="2A7D5532" w14:textId="50A1515A"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12079F93" w:rsidR="00E66558" w:rsidRDefault="009D71E8">
      <w:pPr>
        <w:spacing w:before="240" w:after="120"/>
      </w:pPr>
      <w:r>
        <w:t>Budgeted cost: £</w:t>
      </w:r>
      <w:r w:rsidR="000D1706">
        <w:t>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735AFF8" w:rsidR="00E66558" w:rsidRDefault="00BE7305">
            <w:pPr>
              <w:pStyle w:val="TableRow"/>
            </w:pPr>
            <w:r>
              <w:t>Parental workshops, assemblies, coffee mornings and boosted posts on Facebook</w:t>
            </w:r>
            <w:r w:rsidR="00381838">
              <w:t xml:space="preserve">. </w:t>
            </w:r>
            <w:r w:rsidR="0065463E">
              <w:t xml:space="preserve">Increasing the communication between school and home and </w:t>
            </w:r>
            <w:r w:rsidR="005F5AEF">
              <w:t>ensuring that there are tighter links between the two.</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6E93F" w14:textId="77777777" w:rsidR="00E66558" w:rsidRDefault="00381838">
            <w:pPr>
              <w:pStyle w:val="TableRowCentered"/>
              <w:jc w:val="left"/>
              <w:rPr>
                <w:sz w:val="22"/>
              </w:rPr>
            </w:pPr>
            <w:r>
              <w:rPr>
                <w:sz w:val="22"/>
              </w:rPr>
              <w:t>Teaching and Learning Toolkit: Paren</w:t>
            </w:r>
            <w:r w:rsidR="00320764">
              <w:rPr>
                <w:sz w:val="22"/>
              </w:rPr>
              <w:t>tal engagement</w:t>
            </w:r>
          </w:p>
          <w:p w14:paraId="2802BB22" w14:textId="23E05BF1" w:rsidR="00320764" w:rsidRDefault="00217F58">
            <w:pPr>
              <w:pStyle w:val="TableRowCentered"/>
              <w:jc w:val="left"/>
              <w:rPr>
                <w:sz w:val="22"/>
              </w:rPr>
            </w:pPr>
            <w:hyperlink r:id="rId22" w:history="1">
              <w:r w:rsidR="00D22DEC" w:rsidRPr="00D22DEC">
                <w:rPr>
                  <w:rStyle w:val="Hyperlink"/>
                  <w:sz w:val="22"/>
                </w:rPr>
                <w:t>CLICK HERE FOR INFORMATION.</w:t>
              </w:r>
            </w:hyperlink>
          </w:p>
          <w:p w14:paraId="2A7D5539" w14:textId="30316B30" w:rsidR="00320764" w:rsidRDefault="0032076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18CE258" w:rsidR="00E66558" w:rsidRDefault="00531003">
            <w:pPr>
              <w:pStyle w:val="TableRowCentered"/>
              <w:jc w:val="left"/>
              <w:rPr>
                <w:sz w:val="22"/>
              </w:rPr>
            </w:pPr>
            <w:r>
              <w:rPr>
                <w:sz w:val="22"/>
              </w:rPr>
              <w:t>3, 6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37252609" w:rsidR="00E66558" w:rsidRPr="00531003" w:rsidRDefault="000D1706">
            <w:pPr>
              <w:pStyle w:val="TableRow"/>
              <w:rPr>
                <w:iCs/>
              </w:rPr>
            </w:pPr>
            <w:r w:rsidRPr="00531003">
              <w:rPr>
                <w:iCs/>
              </w:rPr>
              <w:t xml:space="preserve">Support student wellbeing: identified disadvantaged students </w:t>
            </w:r>
            <w:r w:rsidR="00AE24B8" w:rsidRPr="00531003">
              <w:rPr>
                <w:iCs/>
              </w:rPr>
              <w:t>require strategies for managing emotional challenges.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F647D" w14:textId="77777777" w:rsidR="00E66558" w:rsidRDefault="00AE24B8">
            <w:pPr>
              <w:pStyle w:val="TableRowCentered"/>
              <w:jc w:val="left"/>
              <w:rPr>
                <w:sz w:val="22"/>
              </w:rPr>
            </w:pPr>
            <w:r>
              <w:rPr>
                <w:sz w:val="22"/>
              </w:rPr>
              <w:t>EEF Guidance report: Improving Social and Emotional Learning in Primary Schools.</w:t>
            </w:r>
          </w:p>
          <w:p w14:paraId="6553E90E" w14:textId="61D148F3" w:rsidR="00257EB9" w:rsidRDefault="00217F58">
            <w:pPr>
              <w:pStyle w:val="TableRowCentered"/>
              <w:jc w:val="left"/>
              <w:rPr>
                <w:rStyle w:val="Hyperlink"/>
                <w:sz w:val="22"/>
              </w:rPr>
            </w:pPr>
            <w:hyperlink r:id="rId23" w:history="1">
              <w:r w:rsidR="000E7475" w:rsidRPr="000E7475">
                <w:rPr>
                  <w:rStyle w:val="Hyperlink"/>
                  <w:sz w:val="22"/>
                </w:rPr>
                <w:t>C</w:t>
              </w:r>
              <w:r w:rsidR="00912A77">
                <w:rPr>
                  <w:rStyle w:val="Hyperlink"/>
                  <w:sz w:val="22"/>
                </w:rPr>
                <w:t>LICK</w:t>
              </w:r>
              <w:r w:rsidR="000E7475" w:rsidRPr="000E7475">
                <w:rPr>
                  <w:rStyle w:val="Hyperlink"/>
                  <w:sz w:val="22"/>
                </w:rPr>
                <w:t xml:space="preserve"> </w:t>
              </w:r>
              <w:r w:rsidR="00912A77">
                <w:rPr>
                  <w:rStyle w:val="Hyperlink"/>
                  <w:sz w:val="22"/>
                </w:rPr>
                <w:t>HERE FOR</w:t>
              </w:r>
              <w:r w:rsidR="000E7475" w:rsidRPr="000E7475">
                <w:rPr>
                  <w:rStyle w:val="Hyperlink"/>
                  <w:sz w:val="22"/>
                </w:rPr>
                <w:t xml:space="preserve"> </w:t>
              </w:r>
              <w:r w:rsidR="00912A77">
                <w:rPr>
                  <w:rStyle w:val="Hyperlink"/>
                  <w:sz w:val="22"/>
                </w:rPr>
                <w:t>INFORMATION</w:t>
              </w:r>
              <w:r w:rsidR="000E7475" w:rsidRPr="000E7475">
                <w:rPr>
                  <w:rStyle w:val="Hyperlink"/>
                  <w:sz w:val="22"/>
                </w:rPr>
                <w:t>.</w:t>
              </w:r>
            </w:hyperlink>
          </w:p>
          <w:p w14:paraId="34E87628" w14:textId="5509BB3D" w:rsidR="00266A54" w:rsidRDefault="00266A54">
            <w:pPr>
              <w:pStyle w:val="TableRowCentered"/>
              <w:jc w:val="left"/>
              <w:rPr>
                <w:rStyle w:val="Hyperlink"/>
                <w:sz w:val="22"/>
              </w:rPr>
            </w:pPr>
          </w:p>
          <w:p w14:paraId="2695635C" w14:textId="77777777" w:rsidR="00C6464D" w:rsidRDefault="00634139" w:rsidP="002E06C9">
            <w:pPr>
              <w:pStyle w:val="TableRowCentered"/>
              <w:jc w:val="left"/>
              <w:rPr>
                <w:sz w:val="22"/>
              </w:rPr>
            </w:pPr>
            <w:r>
              <w:rPr>
                <w:sz w:val="22"/>
              </w:rPr>
              <w:t>Teaching and Learning Toolkit – Social and Emotional Learning.</w:t>
            </w:r>
          </w:p>
          <w:p w14:paraId="35E08DCF" w14:textId="51F1068E" w:rsidR="000E7475" w:rsidRDefault="00217F58" w:rsidP="002E06C9">
            <w:pPr>
              <w:pStyle w:val="TableRowCentered"/>
              <w:jc w:val="left"/>
              <w:rPr>
                <w:sz w:val="22"/>
              </w:rPr>
            </w:pPr>
            <w:hyperlink r:id="rId24" w:history="1">
              <w:r w:rsidR="00C6464D" w:rsidRPr="00C6464D">
                <w:rPr>
                  <w:rStyle w:val="Hyperlink"/>
                  <w:sz w:val="22"/>
                </w:rPr>
                <w:t>CLICK HERE FOR INFORMATION.</w:t>
              </w:r>
            </w:hyperlink>
          </w:p>
          <w:p w14:paraId="2A7D553D" w14:textId="4B9F35D2" w:rsidR="00C6464D" w:rsidRDefault="00C6464D" w:rsidP="002E06C9">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6B3BE" w:rsidR="00E66558" w:rsidRDefault="005421AD">
            <w:pPr>
              <w:pStyle w:val="TableRowCentered"/>
              <w:jc w:val="left"/>
              <w:rPr>
                <w:sz w:val="22"/>
              </w:rPr>
            </w:pPr>
            <w:r>
              <w:rPr>
                <w:sz w:val="22"/>
              </w:rPr>
              <w:t>1, 3</w:t>
            </w:r>
          </w:p>
        </w:tc>
      </w:tr>
    </w:tbl>
    <w:p w14:paraId="2A7D5540" w14:textId="77777777" w:rsidR="00E66558" w:rsidRDefault="00E66558">
      <w:pPr>
        <w:spacing w:before="240" w:after="0"/>
        <w:rPr>
          <w:b/>
          <w:bCs/>
          <w:color w:val="104F75"/>
          <w:sz w:val="28"/>
          <w:szCs w:val="28"/>
        </w:rPr>
      </w:pPr>
    </w:p>
    <w:p w14:paraId="2A7D5541" w14:textId="051E449E" w:rsidR="00E66558" w:rsidRDefault="009D71E8" w:rsidP="00120AB1">
      <w:r>
        <w:rPr>
          <w:b/>
          <w:bCs/>
          <w:color w:val="104F75"/>
          <w:sz w:val="28"/>
          <w:szCs w:val="28"/>
        </w:rPr>
        <w:t>Total budgeted cost</w:t>
      </w:r>
      <w:r w:rsidRPr="00F149AC">
        <w:rPr>
          <w:b/>
          <w:bCs/>
          <w:color w:val="104F75"/>
          <w:sz w:val="28"/>
          <w:szCs w:val="28"/>
        </w:rPr>
        <w:t>: £</w:t>
      </w:r>
      <w:r w:rsidR="00F149AC">
        <w:rPr>
          <w:i/>
          <w:iCs/>
          <w:color w:val="104F75"/>
          <w:sz w:val="28"/>
          <w:szCs w:val="28"/>
        </w:rPr>
        <w:t>147,000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DA4F494" w:rsidR="00787667" w:rsidRDefault="009D71E8" w:rsidP="00787667">
            <w:pPr>
              <w:spacing w:before="120"/>
              <w:rPr>
                <w:i/>
              </w:rPr>
            </w:pPr>
            <w:r w:rsidRPr="00E15F0B">
              <w:rPr>
                <w:i/>
              </w:rPr>
              <w:t xml:space="preserve">Due to COVID-19, performance measures have not been published for 2020 to 2021, and 2020 to 2021 results will not be used to hold schools to account. </w:t>
            </w:r>
          </w:p>
          <w:p w14:paraId="7B17272B" w14:textId="77777777" w:rsidR="00CC2458" w:rsidRDefault="00CC2458" w:rsidP="00787667">
            <w:pPr>
              <w:spacing w:before="120"/>
              <w:rPr>
                <w:b/>
                <w:bCs/>
                <w:i/>
              </w:rPr>
            </w:pPr>
          </w:p>
          <w:p w14:paraId="23235A95" w14:textId="7454FA67" w:rsidR="00787667" w:rsidRPr="00E15F0B" w:rsidRDefault="00F832C4" w:rsidP="00787667">
            <w:pPr>
              <w:spacing w:before="120"/>
              <w:rPr>
                <w:b/>
                <w:bCs/>
                <w:i/>
              </w:rPr>
            </w:pPr>
            <w:r w:rsidRPr="00E15F0B">
              <w:rPr>
                <w:b/>
                <w:bCs/>
                <w:i/>
              </w:rPr>
              <w:t>Development of a well-being strategy</w:t>
            </w:r>
            <w:r w:rsidR="00992CF8">
              <w:rPr>
                <w:b/>
                <w:bCs/>
                <w:i/>
              </w:rPr>
              <w:t>.</w:t>
            </w:r>
          </w:p>
          <w:p w14:paraId="2485AA15" w14:textId="6EE8BCF5" w:rsidR="00F832C4" w:rsidRDefault="00F832C4" w:rsidP="00787667">
            <w:pPr>
              <w:spacing w:before="120"/>
            </w:pPr>
            <w:r>
              <w:t xml:space="preserve">All safeguarding training </w:t>
            </w:r>
            <w:r w:rsidR="00E406E8">
              <w:t xml:space="preserve">was </w:t>
            </w:r>
            <w:proofErr w:type="gramStart"/>
            <w:r w:rsidR="00E406E8">
              <w:t>undertaken</w:t>
            </w:r>
            <w:proofErr w:type="gramEnd"/>
            <w:r w:rsidR="00E406E8">
              <w:t xml:space="preserve"> and an additional DSL has been trained (we now have 5 in the school).</w:t>
            </w:r>
            <w:r w:rsidR="00F7531B">
              <w:t xml:space="preserve"> The whole school reviews have focused on PP and the Deputy headteacher has attended a PP</w:t>
            </w:r>
            <w:r w:rsidR="007A20AA">
              <w:t xml:space="preserve"> set of training sessions.</w:t>
            </w:r>
            <w:r w:rsidR="00282366">
              <w:t xml:space="preserve"> There are regular slots in staff meetings</w:t>
            </w:r>
            <w:r w:rsidR="00811282">
              <w:t xml:space="preserve"> although urgent information is disseminated when needed anyhow.</w:t>
            </w:r>
            <w:r w:rsidR="00E61B9F">
              <w:t xml:space="preserve"> </w:t>
            </w:r>
            <w:proofErr w:type="gramStart"/>
            <w:r w:rsidR="005C48E0">
              <w:t>DSL</w:t>
            </w:r>
            <w:r w:rsidR="00762DCB">
              <w:t>’</w:t>
            </w:r>
            <w:r w:rsidR="005C48E0">
              <w:t>s</w:t>
            </w:r>
            <w:proofErr w:type="gramEnd"/>
            <w:r w:rsidR="00E61B9F">
              <w:t xml:space="preserve"> communicate and support each othe</w:t>
            </w:r>
            <w:r w:rsidR="00E15F0B">
              <w:t>r</w:t>
            </w:r>
            <w:r w:rsidR="00E61B9F">
              <w:t xml:space="preserve"> on a daily/weekly basis.</w:t>
            </w:r>
          </w:p>
          <w:p w14:paraId="4FE5BB8F" w14:textId="6A26831F" w:rsidR="003844A9" w:rsidRPr="00797D80" w:rsidRDefault="003844A9" w:rsidP="003844A9">
            <w:pPr>
              <w:rPr>
                <w:rFonts w:eastAsiaTheme="minorHAnsi" w:cs="Arial"/>
                <w:color w:val="auto"/>
                <w:lang w:eastAsia="en-US"/>
              </w:rPr>
            </w:pPr>
            <w:bookmarkStart w:id="17" w:name="_Hlk27044028"/>
            <w:r w:rsidRPr="00797D80">
              <w:rPr>
                <w:rFonts w:eastAsiaTheme="minorHAnsi" w:cs="Arial"/>
                <w:color w:val="auto"/>
                <w:lang w:eastAsia="en-US"/>
              </w:rPr>
              <w:t>Disadvantaged on track or above:</w:t>
            </w:r>
            <w:r w:rsidR="00752172" w:rsidRPr="00797D80">
              <w:rPr>
                <w:rFonts w:eastAsiaTheme="minorHAnsi" w:cs="Arial"/>
                <w:color w:val="auto"/>
                <w:lang w:eastAsia="en-US"/>
              </w:rPr>
              <w:t xml:space="preserve"> The data shows </w:t>
            </w:r>
            <w:r w:rsidR="00DA524D" w:rsidRPr="00797D80">
              <w:rPr>
                <w:rFonts w:eastAsiaTheme="minorHAnsi" w:cs="Arial"/>
                <w:color w:val="auto"/>
                <w:lang w:eastAsia="en-US"/>
              </w:rPr>
              <w:t xml:space="preserve">that in years 1 and 3 there is very little difference between the </w:t>
            </w:r>
            <w:r w:rsidR="00A112B4" w:rsidRPr="00797D80">
              <w:rPr>
                <w:rFonts w:eastAsiaTheme="minorHAnsi" w:cs="Arial"/>
                <w:color w:val="auto"/>
                <w:lang w:eastAsia="en-US"/>
              </w:rPr>
              <w:t>performance of disadvantaged and non-disadvantaged pupils.  In other year groups there is a small gap</w:t>
            </w:r>
            <w:r w:rsidR="00797D80" w:rsidRPr="00797D80">
              <w:rPr>
                <w:rFonts w:eastAsiaTheme="minorHAnsi" w:cs="Arial"/>
                <w:color w:val="auto"/>
                <w:lang w:eastAsia="en-US"/>
              </w:rPr>
              <w:t>.</w:t>
            </w:r>
          </w:p>
          <w:tbl>
            <w:tblPr>
              <w:tblStyle w:val="TableGrid"/>
              <w:tblW w:w="0" w:type="auto"/>
              <w:tblLook w:val="04A0" w:firstRow="1" w:lastRow="0" w:firstColumn="1" w:lastColumn="0" w:noHBand="0" w:noVBand="1"/>
            </w:tblPr>
            <w:tblGrid>
              <w:gridCol w:w="562"/>
              <w:gridCol w:w="1985"/>
              <w:gridCol w:w="1899"/>
              <w:gridCol w:w="2042"/>
              <w:gridCol w:w="2042"/>
            </w:tblGrid>
            <w:tr w:rsidR="003844A9" w:rsidRPr="003844A9" w14:paraId="5013AEB4" w14:textId="77777777" w:rsidTr="00FB6A8D">
              <w:tc>
                <w:tcPr>
                  <w:tcW w:w="562" w:type="dxa"/>
                </w:tcPr>
                <w:p w14:paraId="3B5937D6"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p>
              </w:tc>
              <w:tc>
                <w:tcPr>
                  <w:tcW w:w="1985" w:type="dxa"/>
                </w:tcPr>
                <w:p w14:paraId="68BFF33E"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p>
              </w:tc>
              <w:tc>
                <w:tcPr>
                  <w:tcW w:w="1899" w:type="dxa"/>
                </w:tcPr>
                <w:p w14:paraId="26E37DF2" w14:textId="77777777" w:rsidR="003844A9" w:rsidRPr="003844A9" w:rsidRDefault="003844A9" w:rsidP="003844A9">
                  <w:pPr>
                    <w:suppressAutoHyphens w:val="0"/>
                    <w:autoSpaceDN/>
                    <w:spacing w:after="0" w:line="259" w:lineRule="auto"/>
                    <w:jc w:val="center"/>
                    <w:rPr>
                      <w:rFonts w:eastAsiaTheme="minorHAnsi" w:cs="Arial"/>
                      <w:color w:val="00B050"/>
                      <w:sz w:val="20"/>
                      <w:szCs w:val="20"/>
                      <w:lang w:eastAsia="en-US"/>
                    </w:rPr>
                  </w:pPr>
                  <w:r w:rsidRPr="003844A9">
                    <w:rPr>
                      <w:rFonts w:eastAsiaTheme="minorHAnsi" w:cs="Arial"/>
                      <w:color w:val="auto"/>
                      <w:sz w:val="20"/>
                      <w:szCs w:val="20"/>
                      <w:lang w:eastAsia="en-US"/>
                    </w:rPr>
                    <w:t xml:space="preserve">Reading </w:t>
                  </w:r>
                </w:p>
              </w:tc>
              <w:tc>
                <w:tcPr>
                  <w:tcW w:w="2042" w:type="dxa"/>
                </w:tcPr>
                <w:p w14:paraId="00638063" w14:textId="77777777" w:rsidR="003844A9" w:rsidRPr="003844A9" w:rsidRDefault="003844A9" w:rsidP="003844A9">
                  <w:pPr>
                    <w:suppressAutoHyphens w:val="0"/>
                    <w:autoSpaceDN/>
                    <w:spacing w:after="0" w:line="259" w:lineRule="auto"/>
                    <w:jc w:val="center"/>
                    <w:rPr>
                      <w:rFonts w:eastAsiaTheme="minorHAnsi" w:cs="Arial"/>
                      <w:color w:val="00B050"/>
                      <w:sz w:val="20"/>
                      <w:szCs w:val="20"/>
                      <w:lang w:eastAsia="en-US"/>
                    </w:rPr>
                  </w:pPr>
                  <w:r w:rsidRPr="003844A9">
                    <w:rPr>
                      <w:rFonts w:eastAsiaTheme="minorHAnsi" w:cs="Arial"/>
                      <w:color w:val="auto"/>
                      <w:sz w:val="20"/>
                      <w:szCs w:val="20"/>
                      <w:lang w:eastAsia="en-US"/>
                    </w:rPr>
                    <w:t xml:space="preserve">Writing </w:t>
                  </w:r>
                </w:p>
              </w:tc>
              <w:tc>
                <w:tcPr>
                  <w:tcW w:w="2042" w:type="dxa"/>
                </w:tcPr>
                <w:p w14:paraId="044116C8" w14:textId="77777777" w:rsidR="003844A9" w:rsidRPr="003844A9" w:rsidRDefault="003844A9" w:rsidP="003844A9">
                  <w:pPr>
                    <w:suppressAutoHyphens w:val="0"/>
                    <w:autoSpaceDN/>
                    <w:spacing w:after="0" w:line="259" w:lineRule="auto"/>
                    <w:jc w:val="center"/>
                    <w:rPr>
                      <w:rFonts w:eastAsiaTheme="minorHAnsi" w:cs="Arial"/>
                      <w:color w:val="00B050"/>
                      <w:sz w:val="20"/>
                      <w:szCs w:val="20"/>
                      <w:lang w:eastAsia="en-US"/>
                    </w:rPr>
                  </w:pPr>
                  <w:r w:rsidRPr="003844A9">
                    <w:rPr>
                      <w:rFonts w:eastAsiaTheme="minorHAnsi" w:cs="Arial"/>
                      <w:color w:val="auto"/>
                      <w:sz w:val="20"/>
                      <w:szCs w:val="20"/>
                      <w:lang w:eastAsia="en-US"/>
                    </w:rPr>
                    <w:t>Maths</w:t>
                  </w:r>
                </w:p>
              </w:tc>
            </w:tr>
            <w:tr w:rsidR="003844A9" w:rsidRPr="003844A9" w14:paraId="699E4EA6" w14:textId="77777777" w:rsidTr="00FB6A8D">
              <w:tc>
                <w:tcPr>
                  <w:tcW w:w="562" w:type="dxa"/>
                  <w:vMerge w:val="restart"/>
                  <w:textDirection w:val="btLr"/>
                  <w:vAlign w:val="center"/>
                </w:tcPr>
                <w:p w14:paraId="1E221282"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r w:rsidRPr="003844A9">
                    <w:rPr>
                      <w:rFonts w:eastAsiaTheme="minorHAnsi" w:cs="Arial"/>
                      <w:color w:val="auto"/>
                      <w:sz w:val="20"/>
                      <w:szCs w:val="20"/>
                      <w:lang w:eastAsia="en-US"/>
                    </w:rPr>
                    <w:t>Y1</w:t>
                  </w:r>
                </w:p>
              </w:tc>
              <w:tc>
                <w:tcPr>
                  <w:tcW w:w="1985" w:type="dxa"/>
                </w:tcPr>
                <w:p w14:paraId="1C2CD421"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Disadvantaged (17)</w:t>
                  </w:r>
                </w:p>
              </w:tc>
              <w:tc>
                <w:tcPr>
                  <w:tcW w:w="1899" w:type="dxa"/>
                  <w:shd w:val="clear" w:color="auto" w:fill="FFFFFF" w:themeFill="background1"/>
                  <w:vAlign w:val="center"/>
                </w:tcPr>
                <w:p w14:paraId="7ED2B3BA"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59% (10)</w:t>
                  </w:r>
                </w:p>
              </w:tc>
              <w:tc>
                <w:tcPr>
                  <w:tcW w:w="2042" w:type="dxa"/>
                  <w:shd w:val="clear" w:color="auto" w:fill="FFFFFF" w:themeFill="background1"/>
                  <w:vAlign w:val="center"/>
                </w:tcPr>
                <w:p w14:paraId="7445DA2F"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59% (10)</w:t>
                  </w:r>
                </w:p>
              </w:tc>
              <w:tc>
                <w:tcPr>
                  <w:tcW w:w="2042" w:type="dxa"/>
                  <w:shd w:val="clear" w:color="auto" w:fill="FFFFFF" w:themeFill="background1"/>
                  <w:vAlign w:val="center"/>
                </w:tcPr>
                <w:p w14:paraId="36D02167"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59% (10)</w:t>
                  </w:r>
                </w:p>
              </w:tc>
            </w:tr>
            <w:bookmarkEnd w:id="17"/>
            <w:tr w:rsidR="003844A9" w:rsidRPr="003844A9" w14:paraId="0A07E632" w14:textId="77777777" w:rsidTr="00FB6A8D">
              <w:tc>
                <w:tcPr>
                  <w:tcW w:w="562" w:type="dxa"/>
                  <w:vMerge/>
                  <w:textDirection w:val="btLr"/>
                  <w:vAlign w:val="center"/>
                </w:tcPr>
                <w:p w14:paraId="793C1529"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1104C474"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Other pupils (35)</w:t>
                  </w:r>
                </w:p>
              </w:tc>
              <w:tc>
                <w:tcPr>
                  <w:tcW w:w="1899" w:type="dxa"/>
                  <w:shd w:val="clear" w:color="auto" w:fill="FFFFFF" w:themeFill="background1"/>
                  <w:vAlign w:val="center"/>
                </w:tcPr>
                <w:p w14:paraId="7EF141AC"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66% (23)</w:t>
                  </w:r>
                </w:p>
              </w:tc>
              <w:tc>
                <w:tcPr>
                  <w:tcW w:w="2042" w:type="dxa"/>
                  <w:shd w:val="clear" w:color="auto" w:fill="FFFFFF" w:themeFill="background1"/>
                  <w:vAlign w:val="center"/>
                </w:tcPr>
                <w:p w14:paraId="087151C8"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60% (21)</w:t>
                  </w:r>
                </w:p>
              </w:tc>
              <w:tc>
                <w:tcPr>
                  <w:tcW w:w="2042" w:type="dxa"/>
                  <w:shd w:val="clear" w:color="auto" w:fill="FFFFFF" w:themeFill="background1"/>
                  <w:vAlign w:val="center"/>
                </w:tcPr>
                <w:p w14:paraId="7E5B2784"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60% (21)</w:t>
                  </w:r>
                </w:p>
              </w:tc>
            </w:tr>
            <w:tr w:rsidR="003844A9" w:rsidRPr="003844A9" w14:paraId="7071ECDD" w14:textId="77777777" w:rsidTr="00FB6A8D">
              <w:tc>
                <w:tcPr>
                  <w:tcW w:w="562" w:type="dxa"/>
                  <w:vMerge/>
                  <w:textDirection w:val="btLr"/>
                  <w:vAlign w:val="center"/>
                </w:tcPr>
                <w:p w14:paraId="6C16CDB9"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41DF2FF0"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Gap PP to Other</w:t>
                  </w:r>
                </w:p>
              </w:tc>
              <w:tc>
                <w:tcPr>
                  <w:tcW w:w="1899" w:type="dxa"/>
                  <w:shd w:val="clear" w:color="auto" w:fill="FFFFFF" w:themeFill="background1"/>
                </w:tcPr>
                <w:p w14:paraId="2A3EDC3C"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-7%</w:t>
                  </w:r>
                </w:p>
                <w:p w14:paraId="4893BFAA"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(-2 pupils)</w:t>
                  </w:r>
                </w:p>
              </w:tc>
              <w:tc>
                <w:tcPr>
                  <w:tcW w:w="2042" w:type="dxa"/>
                  <w:shd w:val="clear" w:color="auto" w:fill="FFFFFF" w:themeFill="background1"/>
                </w:tcPr>
                <w:p w14:paraId="672CBCBD"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-1%</w:t>
                  </w:r>
                </w:p>
                <w:p w14:paraId="3A5192A6"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N/A</w:t>
                  </w:r>
                </w:p>
              </w:tc>
              <w:tc>
                <w:tcPr>
                  <w:tcW w:w="2042" w:type="dxa"/>
                  <w:shd w:val="clear" w:color="auto" w:fill="FFFFFF" w:themeFill="background1"/>
                  <w:vAlign w:val="center"/>
                </w:tcPr>
                <w:p w14:paraId="6673CB09"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-1%</w:t>
                  </w:r>
                </w:p>
                <w:p w14:paraId="03410538"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N/A</w:t>
                  </w:r>
                </w:p>
              </w:tc>
            </w:tr>
            <w:tr w:rsidR="003844A9" w:rsidRPr="003844A9" w14:paraId="711DEA9D" w14:textId="77777777" w:rsidTr="00FB6A8D">
              <w:tc>
                <w:tcPr>
                  <w:tcW w:w="562" w:type="dxa"/>
                  <w:vMerge w:val="restart"/>
                  <w:textDirection w:val="btLr"/>
                  <w:vAlign w:val="center"/>
                </w:tcPr>
                <w:p w14:paraId="5D98CAFA"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r w:rsidRPr="003844A9">
                    <w:rPr>
                      <w:rFonts w:eastAsiaTheme="minorHAnsi" w:cs="Arial"/>
                      <w:color w:val="auto"/>
                      <w:sz w:val="20"/>
                      <w:szCs w:val="20"/>
                      <w:lang w:eastAsia="en-US"/>
                    </w:rPr>
                    <w:t>Y2</w:t>
                  </w:r>
                </w:p>
              </w:tc>
              <w:tc>
                <w:tcPr>
                  <w:tcW w:w="1985" w:type="dxa"/>
                </w:tcPr>
                <w:p w14:paraId="49AFD0EE"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Disadvantaged (19)</w:t>
                  </w:r>
                </w:p>
              </w:tc>
              <w:tc>
                <w:tcPr>
                  <w:tcW w:w="1899" w:type="dxa"/>
                  <w:shd w:val="clear" w:color="auto" w:fill="FFFFFF" w:themeFill="background1"/>
                  <w:vAlign w:val="center"/>
                </w:tcPr>
                <w:p w14:paraId="78EF1AD1"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42% (8)</w:t>
                  </w:r>
                </w:p>
              </w:tc>
              <w:tc>
                <w:tcPr>
                  <w:tcW w:w="2042" w:type="dxa"/>
                  <w:shd w:val="clear" w:color="auto" w:fill="FFFFFF" w:themeFill="background1"/>
                  <w:vAlign w:val="center"/>
                </w:tcPr>
                <w:p w14:paraId="07E4B466"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47% (9)</w:t>
                  </w:r>
                </w:p>
              </w:tc>
              <w:tc>
                <w:tcPr>
                  <w:tcW w:w="2042" w:type="dxa"/>
                  <w:shd w:val="clear" w:color="auto" w:fill="FFFFFF" w:themeFill="background1"/>
                  <w:vAlign w:val="center"/>
                </w:tcPr>
                <w:p w14:paraId="6BE952E4"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58% (11)</w:t>
                  </w:r>
                </w:p>
              </w:tc>
            </w:tr>
            <w:tr w:rsidR="003844A9" w:rsidRPr="003844A9" w14:paraId="6E5DD7CB" w14:textId="77777777" w:rsidTr="00FB6A8D">
              <w:tc>
                <w:tcPr>
                  <w:tcW w:w="562" w:type="dxa"/>
                  <w:vMerge/>
                  <w:textDirection w:val="btLr"/>
                  <w:vAlign w:val="center"/>
                </w:tcPr>
                <w:p w14:paraId="23BE778E"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5CFD596D"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Other pupils (37)</w:t>
                  </w:r>
                </w:p>
              </w:tc>
              <w:tc>
                <w:tcPr>
                  <w:tcW w:w="1899" w:type="dxa"/>
                  <w:shd w:val="clear" w:color="auto" w:fill="FFFFFF" w:themeFill="background1"/>
                  <w:vAlign w:val="center"/>
                </w:tcPr>
                <w:p w14:paraId="7E5C9870"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73% (27)</w:t>
                  </w:r>
                </w:p>
              </w:tc>
              <w:tc>
                <w:tcPr>
                  <w:tcW w:w="2042" w:type="dxa"/>
                  <w:shd w:val="clear" w:color="auto" w:fill="FFFFFF" w:themeFill="background1"/>
                  <w:vAlign w:val="center"/>
                </w:tcPr>
                <w:p w14:paraId="41510BD4"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73% (27)</w:t>
                  </w:r>
                </w:p>
              </w:tc>
              <w:tc>
                <w:tcPr>
                  <w:tcW w:w="2042" w:type="dxa"/>
                  <w:shd w:val="clear" w:color="auto" w:fill="FFFFFF" w:themeFill="background1"/>
                  <w:vAlign w:val="center"/>
                </w:tcPr>
                <w:p w14:paraId="5D3FA9B1"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76% (28)</w:t>
                  </w:r>
                </w:p>
              </w:tc>
            </w:tr>
            <w:tr w:rsidR="003844A9" w:rsidRPr="003844A9" w14:paraId="30A3D064" w14:textId="77777777" w:rsidTr="00FB6A8D">
              <w:tc>
                <w:tcPr>
                  <w:tcW w:w="562" w:type="dxa"/>
                  <w:vMerge/>
                  <w:textDirection w:val="btLr"/>
                  <w:vAlign w:val="center"/>
                </w:tcPr>
                <w:p w14:paraId="212C878D"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4458E8FD"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Gap PP to Other</w:t>
                  </w:r>
                </w:p>
              </w:tc>
              <w:tc>
                <w:tcPr>
                  <w:tcW w:w="1899" w:type="dxa"/>
                  <w:shd w:val="clear" w:color="auto" w:fill="FFFFFF" w:themeFill="background1"/>
                </w:tcPr>
                <w:p w14:paraId="21EF17AA"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-31%</w:t>
                  </w:r>
                </w:p>
                <w:p w14:paraId="6C6BA1DB"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(- 6 pupils)</w:t>
                  </w:r>
                </w:p>
              </w:tc>
              <w:tc>
                <w:tcPr>
                  <w:tcW w:w="2042" w:type="dxa"/>
                  <w:shd w:val="clear" w:color="auto" w:fill="FFFFFF" w:themeFill="background1"/>
                </w:tcPr>
                <w:p w14:paraId="782D4B3C"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-26%</w:t>
                  </w:r>
                </w:p>
                <w:p w14:paraId="7CAC4696"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(-5 pupils)</w:t>
                  </w:r>
                </w:p>
              </w:tc>
              <w:tc>
                <w:tcPr>
                  <w:tcW w:w="2042" w:type="dxa"/>
                  <w:shd w:val="clear" w:color="auto" w:fill="FFFFFF" w:themeFill="background1"/>
                  <w:vAlign w:val="center"/>
                </w:tcPr>
                <w:p w14:paraId="781CEA31"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-18%</w:t>
                  </w:r>
                </w:p>
                <w:p w14:paraId="085143D4"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(-3 pupils)</w:t>
                  </w:r>
                </w:p>
              </w:tc>
            </w:tr>
            <w:tr w:rsidR="003844A9" w:rsidRPr="003844A9" w14:paraId="7DD7AD66" w14:textId="77777777" w:rsidTr="00FB6A8D">
              <w:tc>
                <w:tcPr>
                  <w:tcW w:w="562" w:type="dxa"/>
                  <w:vMerge w:val="restart"/>
                  <w:textDirection w:val="btLr"/>
                  <w:vAlign w:val="center"/>
                </w:tcPr>
                <w:p w14:paraId="177E64E5"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r w:rsidRPr="003844A9">
                    <w:rPr>
                      <w:rFonts w:eastAsiaTheme="minorHAnsi" w:cs="Arial"/>
                      <w:color w:val="auto"/>
                      <w:sz w:val="20"/>
                      <w:szCs w:val="20"/>
                      <w:lang w:eastAsia="en-US"/>
                    </w:rPr>
                    <w:t>Y3</w:t>
                  </w:r>
                </w:p>
              </w:tc>
              <w:tc>
                <w:tcPr>
                  <w:tcW w:w="1985" w:type="dxa"/>
                </w:tcPr>
                <w:p w14:paraId="66F1737D"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Disadvantaged (10)</w:t>
                  </w:r>
                </w:p>
              </w:tc>
              <w:tc>
                <w:tcPr>
                  <w:tcW w:w="1899" w:type="dxa"/>
                  <w:shd w:val="clear" w:color="auto" w:fill="FFFFFF" w:themeFill="background1"/>
                  <w:vAlign w:val="center"/>
                </w:tcPr>
                <w:p w14:paraId="57E87B7E"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70% (7)</w:t>
                  </w:r>
                </w:p>
              </w:tc>
              <w:tc>
                <w:tcPr>
                  <w:tcW w:w="2042" w:type="dxa"/>
                  <w:shd w:val="clear" w:color="auto" w:fill="FFFFFF" w:themeFill="background1"/>
                  <w:vAlign w:val="center"/>
                </w:tcPr>
                <w:p w14:paraId="0CD67EFF"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70% (7)</w:t>
                  </w:r>
                </w:p>
              </w:tc>
              <w:tc>
                <w:tcPr>
                  <w:tcW w:w="2042" w:type="dxa"/>
                  <w:shd w:val="clear" w:color="auto" w:fill="FFFFFF" w:themeFill="background1"/>
                  <w:vAlign w:val="center"/>
                </w:tcPr>
                <w:p w14:paraId="1BD2B788"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60% (6)</w:t>
                  </w:r>
                </w:p>
              </w:tc>
            </w:tr>
            <w:tr w:rsidR="003844A9" w:rsidRPr="003844A9" w14:paraId="6124520A" w14:textId="77777777" w:rsidTr="00FB6A8D">
              <w:tc>
                <w:tcPr>
                  <w:tcW w:w="562" w:type="dxa"/>
                  <w:vMerge/>
                  <w:textDirection w:val="btLr"/>
                  <w:vAlign w:val="center"/>
                </w:tcPr>
                <w:p w14:paraId="56242FD1"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454B583E"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Other pupils (39)</w:t>
                  </w:r>
                </w:p>
              </w:tc>
              <w:tc>
                <w:tcPr>
                  <w:tcW w:w="1899" w:type="dxa"/>
                  <w:shd w:val="clear" w:color="auto" w:fill="FFFFFF" w:themeFill="background1"/>
                  <w:vAlign w:val="center"/>
                </w:tcPr>
                <w:p w14:paraId="76850AE7"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82% (32)</w:t>
                  </w:r>
                </w:p>
              </w:tc>
              <w:tc>
                <w:tcPr>
                  <w:tcW w:w="2042" w:type="dxa"/>
                  <w:shd w:val="clear" w:color="auto" w:fill="FFFFFF" w:themeFill="background1"/>
                  <w:vAlign w:val="center"/>
                </w:tcPr>
                <w:p w14:paraId="69002B96"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79% (31)</w:t>
                  </w:r>
                </w:p>
              </w:tc>
              <w:tc>
                <w:tcPr>
                  <w:tcW w:w="2042" w:type="dxa"/>
                  <w:shd w:val="clear" w:color="auto" w:fill="FFFFFF" w:themeFill="background1"/>
                  <w:vAlign w:val="center"/>
                </w:tcPr>
                <w:p w14:paraId="46951A72"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82% (32)</w:t>
                  </w:r>
                </w:p>
              </w:tc>
            </w:tr>
            <w:tr w:rsidR="003844A9" w:rsidRPr="003844A9" w14:paraId="5EE324C6" w14:textId="77777777" w:rsidTr="00FB6A8D">
              <w:tc>
                <w:tcPr>
                  <w:tcW w:w="562" w:type="dxa"/>
                  <w:vMerge/>
                  <w:textDirection w:val="btLr"/>
                  <w:vAlign w:val="center"/>
                </w:tcPr>
                <w:p w14:paraId="496C468A"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59DAEE1A"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Gap PP to Other</w:t>
                  </w:r>
                </w:p>
              </w:tc>
              <w:tc>
                <w:tcPr>
                  <w:tcW w:w="1899" w:type="dxa"/>
                  <w:shd w:val="clear" w:color="auto" w:fill="FFFFFF" w:themeFill="background1"/>
                </w:tcPr>
                <w:p w14:paraId="3EED50B5"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-12%</w:t>
                  </w:r>
                </w:p>
                <w:p w14:paraId="313E13DC"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(-1 pupils)</w:t>
                  </w:r>
                </w:p>
              </w:tc>
              <w:tc>
                <w:tcPr>
                  <w:tcW w:w="2042" w:type="dxa"/>
                  <w:shd w:val="clear" w:color="auto" w:fill="FFFFFF" w:themeFill="background1"/>
                </w:tcPr>
                <w:p w14:paraId="358CAC2D"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-9%</w:t>
                  </w:r>
                </w:p>
                <w:p w14:paraId="70B5F83C"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(-1 pupil)</w:t>
                  </w:r>
                </w:p>
              </w:tc>
              <w:tc>
                <w:tcPr>
                  <w:tcW w:w="2042" w:type="dxa"/>
                  <w:shd w:val="clear" w:color="auto" w:fill="FFFFFF" w:themeFill="background1"/>
                  <w:vAlign w:val="center"/>
                </w:tcPr>
                <w:p w14:paraId="1001175A"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-22%</w:t>
                  </w:r>
                </w:p>
                <w:p w14:paraId="14E98D6C"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(-2 pupils)</w:t>
                  </w:r>
                </w:p>
              </w:tc>
            </w:tr>
            <w:tr w:rsidR="003844A9" w:rsidRPr="003844A9" w14:paraId="10E16FC9" w14:textId="77777777" w:rsidTr="00FB6A8D">
              <w:tc>
                <w:tcPr>
                  <w:tcW w:w="562" w:type="dxa"/>
                  <w:vMerge w:val="restart"/>
                  <w:textDirection w:val="btLr"/>
                  <w:vAlign w:val="center"/>
                </w:tcPr>
                <w:p w14:paraId="4B06B724"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r w:rsidRPr="003844A9">
                    <w:rPr>
                      <w:rFonts w:eastAsiaTheme="minorHAnsi" w:cs="Arial"/>
                      <w:color w:val="auto"/>
                      <w:sz w:val="20"/>
                      <w:szCs w:val="20"/>
                      <w:lang w:eastAsia="en-US"/>
                    </w:rPr>
                    <w:t>Y4</w:t>
                  </w:r>
                </w:p>
              </w:tc>
              <w:tc>
                <w:tcPr>
                  <w:tcW w:w="1985" w:type="dxa"/>
                </w:tcPr>
                <w:p w14:paraId="5BACB98B"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Disadvantaged (15)</w:t>
                  </w:r>
                </w:p>
              </w:tc>
              <w:tc>
                <w:tcPr>
                  <w:tcW w:w="1899" w:type="dxa"/>
                  <w:shd w:val="clear" w:color="auto" w:fill="FFFFFF" w:themeFill="background1"/>
                  <w:vAlign w:val="center"/>
                </w:tcPr>
                <w:p w14:paraId="0C56DEB1"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53% (8)</w:t>
                  </w:r>
                </w:p>
              </w:tc>
              <w:tc>
                <w:tcPr>
                  <w:tcW w:w="2042" w:type="dxa"/>
                  <w:shd w:val="clear" w:color="auto" w:fill="FFFFFF" w:themeFill="background1"/>
                  <w:vAlign w:val="center"/>
                </w:tcPr>
                <w:p w14:paraId="7BA9F3EE"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33% (5)</w:t>
                  </w:r>
                </w:p>
              </w:tc>
              <w:tc>
                <w:tcPr>
                  <w:tcW w:w="2042" w:type="dxa"/>
                  <w:shd w:val="clear" w:color="auto" w:fill="FFFFFF" w:themeFill="background1"/>
                  <w:vAlign w:val="center"/>
                </w:tcPr>
                <w:p w14:paraId="41FFE42D"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47% (7)</w:t>
                  </w:r>
                </w:p>
              </w:tc>
            </w:tr>
            <w:tr w:rsidR="003844A9" w:rsidRPr="003844A9" w14:paraId="0291A080" w14:textId="77777777" w:rsidTr="00FB6A8D">
              <w:tc>
                <w:tcPr>
                  <w:tcW w:w="562" w:type="dxa"/>
                  <w:vMerge/>
                  <w:textDirection w:val="btLr"/>
                  <w:vAlign w:val="center"/>
                </w:tcPr>
                <w:p w14:paraId="338A38E7"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58B5C950"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Other pupils (47)</w:t>
                  </w:r>
                </w:p>
              </w:tc>
              <w:tc>
                <w:tcPr>
                  <w:tcW w:w="1899" w:type="dxa"/>
                  <w:shd w:val="clear" w:color="auto" w:fill="FFFFFF" w:themeFill="background1"/>
                  <w:vAlign w:val="center"/>
                </w:tcPr>
                <w:p w14:paraId="50F8E245"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74% (35)</w:t>
                  </w:r>
                </w:p>
              </w:tc>
              <w:tc>
                <w:tcPr>
                  <w:tcW w:w="2042" w:type="dxa"/>
                  <w:shd w:val="clear" w:color="auto" w:fill="FFFFFF" w:themeFill="background1"/>
                  <w:vAlign w:val="center"/>
                </w:tcPr>
                <w:p w14:paraId="770D5398"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68% (32)</w:t>
                  </w:r>
                </w:p>
              </w:tc>
              <w:tc>
                <w:tcPr>
                  <w:tcW w:w="2042" w:type="dxa"/>
                  <w:shd w:val="clear" w:color="auto" w:fill="FFFFFF" w:themeFill="background1"/>
                  <w:vAlign w:val="center"/>
                </w:tcPr>
                <w:p w14:paraId="554CE8F3"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81% (38)</w:t>
                  </w:r>
                </w:p>
              </w:tc>
            </w:tr>
            <w:tr w:rsidR="003844A9" w:rsidRPr="003844A9" w14:paraId="64D8EECA" w14:textId="77777777" w:rsidTr="00FB6A8D">
              <w:tc>
                <w:tcPr>
                  <w:tcW w:w="562" w:type="dxa"/>
                  <w:vMerge/>
                  <w:textDirection w:val="btLr"/>
                  <w:vAlign w:val="center"/>
                </w:tcPr>
                <w:p w14:paraId="27C70965"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19C038B2"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Gap PP to Other</w:t>
                  </w:r>
                </w:p>
              </w:tc>
              <w:tc>
                <w:tcPr>
                  <w:tcW w:w="1899" w:type="dxa"/>
                  <w:shd w:val="clear" w:color="auto" w:fill="FFFFFF" w:themeFill="background1"/>
                </w:tcPr>
                <w:p w14:paraId="7E4BB657"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-21%</w:t>
                  </w:r>
                </w:p>
                <w:p w14:paraId="399F11DB"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(-3 pupils)</w:t>
                  </w:r>
                </w:p>
              </w:tc>
              <w:tc>
                <w:tcPr>
                  <w:tcW w:w="2042" w:type="dxa"/>
                  <w:shd w:val="clear" w:color="auto" w:fill="FFFFFF" w:themeFill="background1"/>
                </w:tcPr>
                <w:p w14:paraId="267CC7EA"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-35%</w:t>
                  </w:r>
                </w:p>
                <w:p w14:paraId="1C0E2F2E"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(-5 pupils)</w:t>
                  </w:r>
                </w:p>
              </w:tc>
              <w:tc>
                <w:tcPr>
                  <w:tcW w:w="2042" w:type="dxa"/>
                  <w:shd w:val="clear" w:color="auto" w:fill="FFFFFF" w:themeFill="background1"/>
                  <w:vAlign w:val="center"/>
                </w:tcPr>
                <w:p w14:paraId="6734C303"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-34%</w:t>
                  </w:r>
                </w:p>
                <w:p w14:paraId="6E2A38FB"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(-5 pupils)</w:t>
                  </w:r>
                </w:p>
              </w:tc>
            </w:tr>
            <w:tr w:rsidR="003844A9" w:rsidRPr="003844A9" w14:paraId="2CB50460" w14:textId="77777777" w:rsidTr="00FB6A8D">
              <w:tc>
                <w:tcPr>
                  <w:tcW w:w="562" w:type="dxa"/>
                  <w:vMerge w:val="restart"/>
                  <w:textDirection w:val="btLr"/>
                  <w:vAlign w:val="center"/>
                </w:tcPr>
                <w:p w14:paraId="714DB417"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r w:rsidRPr="003844A9">
                    <w:rPr>
                      <w:rFonts w:eastAsiaTheme="minorHAnsi" w:cs="Arial"/>
                      <w:color w:val="auto"/>
                      <w:sz w:val="20"/>
                      <w:szCs w:val="20"/>
                      <w:lang w:eastAsia="en-US"/>
                    </w:rPr>
                    <w:t>Y5</w:t>
                  </w:r>
                </w:p>
              </w:tc>
              <w:tc>
                <w:tcPr>
                  <w:tcW w:w="1985" w:type="dxa"/>
                </w:tcPr>
                <w:p w14:paraId="4D02C819"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Disadvantaged (27)</w:t>
                  </w:r>
                </w:p>
              </w:tc>
              <w:tc>
                <w:tcPr>
                  <w:tcW w:w="1899" w:type="dxa"/>
                  <w:shd w:val="clear" w:color="auto" w:fill="FFFFFF" w:themeFill="background1"/>
                  <w:vAlign w:val="center"/>
                </w:tcPr>
                <w:p w14:paraId="7EC336BA"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78% (21)</w:t>
                  </w:r>
                </w:p>
              </w:tc>
              <w:tc>
                <w:tcPr>
                  <w:tcW w:w="2042" w:type="dxa"/>
                  <w:shd w:val="clear" w:color="auto" w:fill="FFFFFF" w:themeFill="background1"/>
                  <w:vAlign w:val="center"/>
                </w:tcPr>
                <w:p w14:paraId="221780FF"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67% (18)</w:t>
                  </w:r>
                </w:p>
              </w:tc>
              <w:tc>
                <w:tcPr>
                  <w:tcW w:w="2042" w:type="dxa"/>
                  <w:shd w:val="clear" w:color="auto" w:fill="FFFFFF" w:themeFill="background1"/>
                  <w:vAlign w:val="center"/>
                </w:tcPr>
                <w:p w14:paraId="7ABC8130"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63% (17)</w:t>
                  </w:r>
                </w:p>
              </w:tc>
            </w:tr>
            <w:tr w:rsidR="003844A9" w:rsidRPr="003844A9" w14:paraId="234C7DEB" w14:textId="77777777" w:rsidTr="00FB6A8D">
              <w:tc>
                <w:tcPr>
                  <w:tcW w:w="562" w:type="dxa"/>
                  <w:vMerge/>
                  <w:textDirection w:val="btLr"/>
                  <w:vAlign w:val="center"/>
                </w:tcPr>
                <w:p w14:paraId="3775AD1E"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387F345C"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Other pupils (40)</w:t>
                  </w:r>
                </w:p>
              </w:tc>
              <w:tc>
                <w:tcPr>
                  <w:tcW w:w="1899" w:type="dxa"/>
                  <w:shd w:val="clear" w:color="auto" w:fill="FFFFFF" w:themeFill="background1"/>
                  <w:vAlign w:val="center"/>
                </w:tcPr>
                <w:p w14:paraId="03088CCF"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70% (28)</w:t>
                  </w:r>
                </w:p>
              </w:tc>
              <w:tc>
                <w:tcPr>
                  <w:tcW w:w="2042" w:type="dxa"/>
                  <w:shd w:val="clear" w:color="auto" w:fill="FFFFFF" w:themeFill="background1"/>
                  <w:vAlign w:val="center"/>
                </w:tcPr>
                <w:p w14:paraId="7A0E9D70"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75% (30)</w:t>
                  </w:r>
                </w:p>
              </w:tc>
              <w:tc>
                <w:tcPr>
                  <w:tcW w:w="2042" w:type="dxa"/>
                  <w:shd w:val="clear" w:color="auto" w:fill="FFFFFF" w:themeFill="background1"/>
                  <w:vAlign w:val="center"/>
                </w:tcPr>
                <w:p w14:paraId="1DBAD365"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83% (33)</w:t>
                  </w:r>
                </w:p>
              </w:tc>
            </w:tr>
            <w:tr w:rsidR="003844A9" w:rsidRPr="003844A9" w14:paraId="0F77F76E" w14:textId="77777777" w:rsidTr="00FB6A8D">
              <w:tc>
                <w:tcPr>
                  <w:tcW w:w="562" w:type="dxa"/>
                  <w:vMerge/>
                  <w:textDirection w:val="btLr"/>
                  <w:vAlign w:val="center"/>
                </w:tcPr>
                <w:p w14:paraId="48876B00"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p>
              </w:tc>
              <w:tc>
                <w:tcPr>
                  <w:tcW w:w="1985" w:type="dxa"/>
                </w:tcPr>
                <w:p w14:paraId="0E20B58C"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Gap PP to Other</w:t>
                  </w:r>
                </w:p>
              </w:tc>
              <w:tc>
                <w:tcPr>
                  <w:tcW w:w="1899" w:type="dxa"/>
                  <w:shd w:val="clear" w:color="auto" w:fill="FFFFFF" w:themeFill="background1"/>
                </w:tcPr>
                <w:p w14:paraId="17E16778"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+8%</w:t>
                  </w:r>
                </w:p>
                <w:p w14:paraId="3D4B357E"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(+3 pupils)</w:t>
                  </w:r>
                </w:p>
              </w:tc>
              <w:tc>
                <w:tcPr>
                  <w:tcW w:w="2042" w:type="dxa"/>
                  <w:shd w:val="clear" w:color="auto" w:fill="FFFFFF" w:themeFill="background1"/>
                </w:tcPr>
                <w:p w14:paraId="095006E2"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-8%</w:t>
                  </w:r>
                </w:p>
                <w:p w14:paraId="5E24B2FD"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(-2 pupils)</w:t>
                  </w:r>
                </w:p>
              </w:tc>
              <w:tc>
                <w:tcPr>
                  <w:tcW w:w="2042" w:type="dxa"/>
                  <w:shd w:val="clear" w:color="auto" w:fill="FFFFFF" w:themeFill="background1"/>
                  <w:vAlign w:val="center"/>
                </w:tcPr>
                <w:p w14:paraId="40F3782A"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-20%</w:t>
                  </w:r>
                </w:p>
                <w:p w14:paraId="5755BE72"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(-5 pupils)</w:t>
                  </w:r>
                </w:p>
              </w:tc>
            </w:tr>
            <w:tr w:rsidR="003844A9" w:rsidRPr="003844A9" w14:paraId="4DED9012" w14:textId="77777777" w:rsidTr="00FB6A8D">
              <w:tc>
                <w:tcPr>
                  <w:tcW w:w="562" w:type="dxa"/>
                  <w:vMerge w:val="restart"/>
                  <w:textDirection w:val="btLr"/>
                  <w:vAlign w:val="center"/>
                </w:tcPr>
                <w:p w14:paraId="085BEC8A" w14:textId="77777777" w:rsidR="003844A9" w:rsidRPr="003844A9" w:rsidRDefault="003844A9" w:rsidP="003844A9">
                  <w:pPr>
                    <w:suppressAutoHyphens w:val="0"/>
                    <w:autoSpaceDN/>
                    <w:spacing w:after="0" w:line="259" w:lineRule="auto"/>
                    <w:ind w:left="113" w:right="113"/>
                    <w:jc w:val="center"/>
                    <w:rPr>
                      <w:rFonts w:eastAsiaTheme="minorHAnsi" w:cs="Arial"/>
                      <w:color w:val="auto"/>
                      <w:sz w:val="20"/>
                      <w:szCs w:val="20"/>
                      <w:lang w:eastAsia="en-US"/>
                    </w:rPr>
                  </w:pPr>
                  <w:r w:rsidRPr="003844A9">
                    <w:rPr>
                      <w:rFonts w:eastAsiaTheme="minorHAnsi" w:cs="Arial"/>
                      <w:color w:val="auto"/>
                      <w:sz w:val="20"/>
                      <w:szCs w:val="20"/>
                      <w:lang w:eastAsia="en-US"/>
                    </w:rPr>
                    <w:t>Y6</w:t>
                  </w:r>
                </w:p>
              </w:tc>
              <w:tc>
                <w:tcPr>
                  <w:tcW w:w="1985" w:type="dxa"/>
                </w:tcPr>
                <w:p w14:paraId="498E18BD"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Disadvantaged (27)</w:t>
                  </w:r>
                </w:p>
              </w:tc>
              <w:tc>
                <w:tcPr>
                  <w:tcW w:w="1899" w:type="dxa"/>
                  <w:shd w:val="clear" w:color="auto" w:fill="FFFFFF" w:themeFill="background1"/>
                  <w:vAlign w:val="center"/>
                </w:tcPr>
                <w:p w14:paraId="6B57E3BF"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63% (17)</w:t>
                  </w:r>
                </w:p>
              </w:tc>
              <w:tc>
                <w:tcPr>
                  <w:tcW w:w="2042" w:type="dxa"/>
                  <w:shd w:val="clear" w:color="auto" w:fill="FFFFFF" w:themeFill="background1"/>
                  <w:vAlign w:val="center"/>
                </w:tcPr>
                <w:p w14:paraId="25C91578"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70% (19)</w:t>
                  </w:r>
                </w:p>
              </w:tc>
              <w:tc>
                <w:tcPr>
                  <w:tcW w:w="2042" w:type="dxa"/>
                  <w:shd w:val="clear" w:color="auto" w:fill="FFFFFF" w:themeFill="background1"/>
                  <w:vAlign w:val="center"/>
                </w:tcPr>
                <w:p w14:paraId="2E495278"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48% (13)</w:t>
                  </w:r>
                </w:p>
              </w:tc>
            </w:tr>
            <w:tr w:rsidR="003844A9" w:rsidRPr="003844A9" w14:paraId="12A4AA2B" w14:textId="77777777" w:rsidTr="00FB6A8D">
              <w:tc>
                <w:tcPr>
                  <w:tcW w:w="562" w:type="dxa"/>
                  <w:vMerge/>
                </w:tcPr>
                <w:p w14:paraId="2DBCF182"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p>
              </w:tc>
              <w:tc>
                <w:tcPr>
                  <w:tcW w:w="1985" w:type="dxa"/>
                </w:tcPr>
                <w:p w14:paraId="4489E271"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Other pupils (51)</w:t>
                  </w:r>
                </w:p>
              </w:tc>
              <w:tc>
                <w:tcPr>
                  <w:tcW w:w="1899" w:type="dxa"/>
                  <w:shd w:val="clear" w:color="auto" w:fill="FFFFFF" w:themeFill="background1"/>
                  <w:vAlign w:val="center"/>
                </w:tcPr>
                <w:p w14:paraId="78C0D733"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69% (35)</w:t>
                  </w:r>
                </w:p>
              </w:tc>
              <w:tc>
                <w:tcPr>
                  <w:tcW w:w="2042" w:type="dxa"/>
                  <w:shd w:val="clear" w:color="auto" w:fill="FFFFFF" w:themeFill="background1"/>
                  <w:vAlign w:val="center"/>
                </w:tcPr>
                <w:p w14:paraId="190CAAAD"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82% (42)</w:t>
                  </w:r>
                </w:p>
              </w:tc>
              <w:tc>
                <w:tcPr>
                  <w:tcW w:w="2042" w:type="dxa"/>
                  <w:shd w:val="clear" w:color="auto" w:fill="FFFFFF" w:themeFill="background1"/>
                  <w:vAlign w:val="center"/>
                </w:tcPr>
                <w:p w14:paraId="15FC7F19"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eastAsiaTheme="minorHAnsi" w:cs="Arial"/>
                      <w:color w:val="auto"/>
                      <w:sz w:val="18"/>
                      <w:szCs w:val="18"/>
                      <w:lang w:eastAsia="en-US"/>
                    </w:rPr>
                    <w:t>59% (30)</w:t>
                  </w:r>
                </w:p>
              </w:tc>
            </w:tr>
            <w:tr w:rsidR="003844A9" w:rsidRPr="003844A9" w14:paraId="75C9EA63" w14:textId="77777777" w:rsidTr="00FB6A8D">
              <w:tc>
                <w:tcPr>
                  <w:tcW w:w="562" w:type="dxa"/>
                  <w:vMerge/>
                </w:tcPr>
                <w:p w14:paraId="5220DD0E"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p>
              </w:tc>
              <w:tc>
                <w:tcPr>
                  <w:tcW w:w="1985" w:type="dxa"/>
                </w:tcPr>
                <w:p w14:paraId="51CD4D15" w14:textId="77777777" w:rsidR="003844A9" w:rsidRPr="003844A9" w:rsidRDefault="003844A9" w:rsidP="003844A9">
                  <w:pPr>
                    <w:suppressAutoHyphens w:val="0"/>
                    <w:autoSpaceDN/>
                    <w:spacing w:after="0" w:line="259" w:lineRule="auto"/>
                    <w:rPr>
                      <w:rFonts w:eastAsiaTheme="minorHAnsi" w:cs="Arial"/>
                      <w:color w:val="auto"/>
                      <w:sz w:val="20"/>
                      <w:szCs w:val="20"/>
                      <w:lang w:eastAsia="en-US"/>
                    </w:rPr>
                  </w:pPr>
                  <w:r w:rsidRPr="003844A9">
                    <w:rPr>
                      <w:rFonts w:eastAsiaTheme="minorHAnsi" w:cs="Arial"/>
                      <w:color w:val="auto"/>
                      <w:sz w:val="20"/>
                      <w:szCs w:val="20"/>
                      <w:lang w:eastAsia="en-US"/>
                    </w:rPr>
                    <w:t>Gap PP to Other</w:t>
                  </w:r>
                </w:p>
              </w:tc>
              <w:tc>
                <w:tcPr>
                  <w:tcW w:w="1899" w:type="dxa"/>
                  <w:shd w:val="clear" w:color="auto" w:fill="FFFFFF" w:themeFill="background1"/>
                </w:tcPr>
                <w:p w14:paraId="4C130727"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-6%</w:t>
                  </w:r>
                </w:p>
                <w:p w14:paraId="11064BEC"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(-2 pupils)</w:t>
                  </w:r>
                </w:p>
              </w:tc>
              <w:tc>
                <w:tcPr>
                  <w:tcW w:w="2042" w:type="dxa"/>
                  <w:shd w:val="clear" w:color="auto" w:fill="FFFFFF" w:themeFill="background1"/>
                </w:tcPr>
                <w:p w14:paraId="399B4DAA"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-12%</w:t>
                  </w:r>
                </w:p>
                <w:p w14:paraId="15FF3DB0"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(-3 pupils)</w:t>
                  </w:r>
                </w:p>
              </w:tc>
              <w:tc>
                <w:tcPr>
                  <w:tcW w:w="2042" w:type="dxa"/>
                  <w:shd w:val="clear" w:color="auto" w:fill="FFFFFF" w:themeFill="background1"/>
                  <w:vAlign w:val="center"/>
                </w:tcPr>
                <w:p w14:paraId="7BEE54FD" w14:textId="77777777" w:rsidR="003844A9" w:rsidRPr="003844A9" w:rsidRDefault="003844A9" w:rsidP="003844A9">
                  <w:pPr>
                    <w:suppressAutoHyphens w:val="0"/>
                    <w:autoSpaceDN/>
                    <w:spacing w:after="0" w:line="259" w:lineRule="auto"/>
                    <w:jc w:val="center"/>
                    <w:rPr>
                      <w:rFonts w:asciiTheme="minorHAnsi" w:eastAsiaTheme="minorHAnsi" w:hAnsiTheme="minorHAnsi" w:cstheme="minorBidi"/>
                      <w:color w:val="auto"/>
                      <w:sz w:val="18"/>
                      <w:szCs w:val="18"/>
                      <w:lang w:eastAsia="en-US"/>
                    </w:rPr>
                  </w:pPr>
                  <w:r w:rsidRPr="003844A9">
                    <w:rPr>
                      <w:rFonts w:asciiTheme="minorHAnsi" w:eastAsiaTheme="minorHAnsi" w:hAnsiTheme="minorHAnsi" w:cstheme="minorBidi"/>
                      <w:color w:val="auto"/>
                      <w:sz w:val="18"/>
                      <w:szCs w:val="18"/>
                      <w:lang w:eastAsia="en-US"/>
                    </w:rPr>
                    <w:t>-11%</w:t>
                  </w:r>
                </w:p>
                <w:p w14:paraId="013F55C4" w14:textId="77777777" w:rsidR="003844A9" w:rsidRPr="003844A9" w:rsidRDefault="003844A9" w:rsidP="003844A9">
                  <w:pPr>
                    <w:suppressAutoHyphens w:val="0"/>
                    <w:autoSpaceDN/>
                    <w:spacing w:after="0" w:line="259" w:lineRule="auto"/>
                    <w:jc w:val="center"/>
                    <w:rPr>
                      <w:rFonts w:eastAsiaTheme="minorHAnsi" w:cs="Arial"/>
                      <w:color w:val="auto"/>
                      <w:sz w:val="18"/>
                      <w:szCs w:val="18"/>
                      <w:lang w:eastAsia="en-US"/>
                    </w:rPr>
                  </w:pPr>
                  <w:r w:rsidRPr="003844A9">
                    <w:rPr>
                      <w:rFonts w:asciiTheme="minorHAnsi" w:eastAsiaTheme="minorHAnsi" w:hAnsiTheme="minorHAnsi" w:cstheme="minorBidi"/>
                      <w:color w:val="auto"/>
                      <w:sz w:val="18"/>
                      <w:szCs w:val="18"/>
                      <w:lang w:eastAsia="en-US"/>
                    </w:rPr>
                    <w:t xml:space="preserve"> (-3 pupils)</w:t>
                  </w:r>
                </w:p>
              </w:tc>
            </w:tr>
          </w:tbl>
          <w:p w14:paraId="6FA9F65F" w14:textId="2879E408" w:rsidR="00D618F5" w:rsidRDefault="00D618F5" w:rsidP="00787667">
            <w:pPr>
              <w:spacing w:before="120"/>
            </w:pPr>
            <w:r>
              <w:lastRenderedPageBreak/>
              <w:t xml:space="preserve">A staff, pupil and parent survey were completed to address </w:t>
            </w:r>
            <w:r w:rsidR="00AD32FF">
              <w:t>wellbeing</w:t>
            </w:r>
            <w:r>
              <w:t>.</w:t>
            </w:r>
          </w:p>
          <w:p w14:paraId="53904C22" w14:textId="4A134616" w:rsidR="007D653F" w:rsidRDefault="007D653F" w:rsidP="00945E09">
            <w:pPr>
              <w:pStyle w:val="ListParagraph"/>
              <w:numPr>
                <w:ilvl w:val="0"/>
                <w:numId w:val="15"/>
              </w:numPr>
              <w:spacing w:before="120"/>
            </w:pPr>
            <w:r>
              <w:t>92% of parents agreed that their child was happy at school</w:t>
            </w:r>
            <w:r w:rsidR="00896A57">
              <w:t>.</w:t>
            </w:r>
          </w:p>
          <w:p w14:paraId="38F4AA99" w14:textId="39224084" w:rsidR="00A51275" w:rsidRDefault="00A51275" w:rsidP="00945E09">
            <w:pPr>
              <w:pStyle w:val="ListParagraph"/>
              <w:numPr>
                <w:ilvl w:val="0"/>
                <w:numId w:val="15"/>
              </w:numPr>
              <w:spacing w:before="120"/>
            </w:pPr>
            <w:r>
              <w:t>100% of pupils felt that</w:t>
            </w:r>
            <w:r w:rsidR="00685489">
              <w:t xml:space="preserve"> Tanners Brook helps them to learn well and make good progress.</w:t>
            </w:r>
          </w:p>
          <w:p w14:paraId="50C0C608" w14:textId="64903D9C" w:rsidR="0058593B" w:rsidRDefault="0058593B" w:rsidP="00945E09">
            <w:pPr>
              <w:pStyle w:val="ListParagraph"/>
              <w:numPr>
                <w:ilvl w:val="0"/>
                <w:numId w:val="15"/>
              </w:numPr>
              <w:spacing w:before="120"/>
            </w:pPr>
            <w:r>
              <w:t>98% of pupils said that they like learning at Tanners Brook.</w:t>
            </w:r>
          </w:p>
          <w:p w14:paraId="3BC861AA" w14:textId="2EF73A05" w:rsidR="00945E09" w:rsidRDefault="00945E09" w:rsidP="00945E09">
            <w:pPr>
              <w:pStyle w:val="ListParagraph"/>
              <w:numPr>
                <w:ilvl w:val="0"/>
                <w:numId w:val="15"/>
              </w:numPr>
              <w:spacing w:before="120"/>
            </w:pPr>
            <w:r>
              <w:t>100% of staff said that they were proud to be a member of this school.</w:t>
            </w:r>
          </w:p>
          <w:p w14:paraId="28183221" w14:textId="77777777" w:rsidR="00CC2458" w:rsidRDefault="00CC2458" w:rsidP="00992CF8">
            <w:pPr>
              <w:spacing w:before="120"/>
              <w:rPr>
                <w:b/>
                <w:bCs/>
                <w:i/>
                <w:iCs/>
              </w:rPr>
            </w:pPr>
          </w:p>
          <w:p w14:paraId="23DBC321" w14:textId="4246903C" w:rsidR="00992CF8" w:rsidRDefault="00992CF8" w:rsidP="00992CF8">
            <w:pPr>
              <w:spacing w:before="120"/>
              <w:rPr>
                <w:b/>
                <w:bCs/>
                <w:i/>
                <w:iCs/>
              </w:rPr>
            </w:pPr>
            <w:r w:rsidRPr="00992CF8">
              <w:rPr>
                <w:b/>
                <w:bCs/>
                <w:i/>
                <w:iCs/>
              </w:rPr>
              <w:t>Effective Learning Behaviours.</w:t>
            </w:r>
          </w:p>
          <w:p w14:paraId="2B6C8404" w14:textId="35E40A25" w:rsidR="00992CF8" w:rsidRPr="00BE6FEA" w:rsidRDefault="00857765" w:rsidP="00992CF8">
            <w:pPr>
              <w:spacing w:before="120"/>
            </w:pPr>
            <w:r w:rsidRPr="00BE6FEA">
              <w:t>The behaviour policy has been communicated to staff</w:t>
            </w:r>
            <w:r w:rsidR="00DF2C3E" w:rsidRPr="00BE6FEA">
              <w:t xml:space="preserve"> and a new rewards system introduced which now aligns KS1 and KS2.</w:t>
            </w:r>
            <w:r w:rsidR="00E0541B">
              <w:t xml:space="preserve"> Pupil and staff questionnaires have taken place.</w:t>
            </w:r>
          </w:p>
          <w:p w14:paraId="0F1F83FA" w14:textId="5782A33A" w:rsidR="00D81CD0" w:rsidRPr="00BE6FEA" w:rsidRDefault="00D81CD0" w:rsidP="00CC2458">
            <w:pPr>
              <w:pStyle w:val="ListParagraph"/>
              <w:numPr>
                <w:ilvl w:val="0"/>
                <w:numId w:val="16"/>
              </w:numPr>
              <w:spacing w:before="120"/>
            </w:pPr>
            <w:r w:rsidRPr="00BE6FEA">
              <w:t>96% of staff felt that the behaviour is consistently well managed (4% did not know).</w:t>
            </w:r>
          </w:p>
          <w:p w14:paraId="6AD7C8C3" w14:textId="698F52BA" w:rsidR="00D81CD0" w:rsidRDefault="00895512" w:rsidP="00CC2458">
            <w:pPr>
              <w:pStyle w:val="ListParagraph"/>
              <w:numPr>
                <w:ilvl w:val="0"/>
                <w:numId w:val="16"/>
              </w:numPr>
              <w:spacing w:before="120"/>
            </w:pPr>
            <w:r w:rsidRPr="00BE6FEA">
              <w:t xml:space="preserve">98% of pupils said that </w:t>
            </w:r>
            <w:r w:rsidR="00A90B58" w:rsidRPr="00BE6FEA">
              <w:t>they know that good behaviour helps them to learn.</w:t>
            </w:r>
          </w:p>
          <w:p w14:paraId="07A0CF38" w14:textId="66502E57" w:rsidR="00A110B3" w:rsidRDefault="00A110B3" w:rsidP="00992CF8">
            <w:pPr>
              <w:spacing w:before="120"/>
            </w:pPr>
            <w:r>
              <w:t>There has been an overall decline in the number of behaviour incidents during the school year</w:t>
            </w:r>
            <w:r w:rsidR="00A466A5">
              <w:t xml:space="preserve">.  The Autumn term always is slightly </w:t>
            </w:r>
            <w:r w:rsidR="00E37986">
              <w:t>higher,</w:t>
            </w:r>
            <w:r w:rsidR="00A466A5">
              <w:t xml:space="preserve"> but this was adversely affected by two pupils </w:t>
            </w:r>
            <w:r w:rsidR="000526AB">
              <w:t xml:space="preserve">who </w:t>
            </w:r>
            <w:r w:rsidR="00AD32FF">
              <w:t>have</w:t>
            </w:r>
            <w:r w:rsidR="000526AB">
              <w:t xml:space="preserve"> now moved to </w:t>
            </w:r>
            <w:r w:rsidR="00E0541B">
              <w:t>a different provider.</w:t>
            </w:r>
          </w:p>
          <w:p w14:paraId="405EF6A5" w14:textId="77777777" w:rsidR="00E37986" w:rsidRDefault="00E37986" w:rsidP="00992CF8">
            <w:pPr>
              <w:spacing w:before="120"/>
            </w:pPr>
          </w:p>
          <w:p w14:paraId="3A3269F4" w14:textId="701485A3" w:rsidR="00E37986" w:rsidRPr="00A930DD" w:rsidRDefault="00E37986" w:rsidP="00992CF8">
            <w:pPr>
              <w:spacing w:before="120"/>
              <w:rPr>
                <w:b/>
                <w:bCs/>
                <w:i/>
                <w:iCs/>
              </w:rPr>
            </w:pPr>
            <w:r w:rsidRPr="00A930DD">
              <w:rPr>
                <w:b/>
                <w:bCs/>
                <w:i/>
                <w:iCs/>
              </w:rPr>
              <w:t>Vocabulary and reading are a high priority.</w:t>
            </w:r>
          </w:p>
          <w:p w14:paraId="131B8C88" w14:textId="4516C6DD" w:rsidR="00DD0E5B" w:rsidRDefault="0047070F" w:rsidP="00992CF8">
            <w:pPr>
              <w:spacing w:before="120"/>
            </w:pPr>
            <w:r>
              <w:t xml:space="preserve">One to one reading is </w:t>
            </w:r>
            <w:r w:rsidR="00AD32FF">
              <w:t>prioritised,</w:t>
            </w:r>
            <w:r>
              <w:t xml:space="preserve"> and all children complete this at least once a week</w:t>
            </w:r>
            <w:r w:rsidR="00D52485">
              <w:t xml:space="preserve"> in school.</w:t>
            </w:r>
            <w:r w:rsidR="006E1FFC">
              <w:t xml:space="preserve"> </w:t>
            </w:r>
          </w:p>
          <w:p w14:paraId="2AF6D677" w14:textId="77777777" w:rsidR="00DD0E5B" w:rsidRDefault="00466E19" w:rsidP="00DD0E5B">
            <w:pPr>
              <w:pStyle w:val="ListParagraph"/>
              <w:numPr>
                <w:ilvl w:val="0"/>
                <w:numId w:val="18"/>
              </w:numPr>
              <w:spacing w:before="120"/>
            </w:pPr>
            <w:r>
              <w:t>86% of pupils say that they now read outside of school.</w:t>
            </w:r>
          </w:p>
          <w:p w14:paraId="20B10E9E" w14:textId="37DDCD20" w:rsidR="00DD0E5B" w:rsidRDefault="00DD0E5B" w:rsidP="00DD0E5B">
            <w:pPr>
              <w:pStyle w:val="ListParagraph"/>
              <w:numPr>
                <w:ilvl w:val="0"/>
                <w:numId w:val="18"/>
              </w:numPr>
              <w:spacing w:before="120"/>
            </w:pPr>
            <w:r>
              <w:t>95% of pupils say that they enjoy reading.</w:t>
            </w:r>
          </w:p>
          <w:p w14:paraId="6D049EBB" w14:textId="79DF8720" w:rsidR="00460FBF" w:rsidRDefault="006A7B2C" w:rsidP="006A7B2C">
            <w:pPr>
              <w:spacing w:before="120"/>
            </w:pPr>
            <w:r>
              <w:t>Reading activity is actively rewarded and celebrated</w:t>
            </w:r>
            <w:r w:rsidR="00E04504">
              <w:t>.</w:t>
            </w:r>
          </w:p>
          <w:p w14:paraId="4321772D" w14:textId="34C460E1" w:rsidR="0047070F" w:rsidRDefault="00EE1933" w:rsidP="00992CF8">
            <w:pPr>
              <w:spacing w:before="120"/>
            </w:pPr>
            <w:r>
              <w:t xml:space="preserve">Year 2 </w:t>
            </w:r>
            <w:r w:rsidR="009726F7">
              <w:t xml:space="preserve">Phonics screening results </w:t>
            </w:r>
            <w:r>
              <w:t>2021-2022</w:t>
            </w:r>
            <w:r w:rsidR="00F3474A">
              <w:t xml:space="preserve"> </w:t>
            </w:r>
            <w:r w:rsidR="009726F7">
              <w:t>show that disadvantaged students performed exceptionally well.</w:t>
            </w:r>
          </w:p>
          <w:p w14:paraId="1EE16643" w14:textId="0135CAA1" w:rsidR="00A930DD" w:rsidRDefault="00A930DD" w:rsidP="00A930DD">
            <w:pPr>
              <w:pStyle w:val="ListParagraph"/>
              <w:numPr>
                <w:ilvl w:val="0"/>
                <w:numId w:val="17"/>
              </w:numPr>
              <w:spacing w:before="120"/>
            </w:pPr>
            <w:r>
              <w:t>77.2% for all pupils</w:t>
            </w:r>
          </w:p>
          <w:p w14:paraId="58E730DD" w14:textId="615E46A3" w:rsidR="00A930DD" w:rsidRDefault="00A930DD" w:rsidP="00A930DD">
            <w:pPr>
              <w:pStyle w:val="ListParagraph"/>
              <w:numPr>
                <w:ilvl w:val="0"/>
                <w:numId w:val="17"/>
              </w:numPr>
              <w:spacing w:before="120"/>
            </w:pPr>
            <w:r>
              <w:t>78.6% for disadvantaged pupils</w:t>
            </w:r>
          </w:p>
          <w:p w14:paraId="48DEF459" w14:textId="4EE39666" w:rsidR="00A930DD" w:rsidRDefault="00A930DD" w:rsidP="00A930DD">
            <w:pPr>
              <w:pStyle w:val="ListParagraph"/>
              <w:numPr>
                <w:ilvl w:val="0"/>
                <w:numId w:val="17"/>
              </w:numPr>
              <w:spacing w:before="120"/>
            </w:pPr>
            <w:r>
              <w:t>66.5% for disadvantaged pupils nationally.</w:t>
            </w:r>
          </w:p>
          <w:p w14:paraId="555657DA" w14:textId="77777777" w:rsidR="00E66558" w:rsidRDefault="003A70C9">
            <w:r>
              <w:t>Having explored this thoroughly this year we have decided to incorporate the Read, Write, In</w:t>
            </w:r>
            <w:r w:rsidR="002808F2">
              <w:t>c</w:t>
            </w:r>
            <w:r w:rsidR="002029C1">
              <w:t xml:space="preserve"> programme from September 2022.</w:t>
            </w:r>
          </w:p>
          <w:p w14:paraId="6412EE2C" w14:textId="77777777" w:rsidR="002029C1" w:rsidRPr="00204C51" w:rsidRDefault="002029C1">
            <w:pPr>
              <w:rPr>
                <w:b/>
                <w:bCs/>
                <w:i/>
                <w:iCs/>
              </w:rPr>
            </w:pPr>
          </w:p>
          <w:p w14:paraId="1F84E1B6" w14:textId="11A8278E" w:rsidR="002029C1" w:rsidRPr="00204C51" w:rsidRDefault="002029C1">
            <w:pPr>
              <w:rPr>
                <w:b/>
                <w:bCs/>
                <w:i/>
                <w:iCs/>
              </w:rPr>
            </w:pPr>
            <w:r w:rsidRPr="00204C51">
              <w:rPr>
                <w:b/>
                <w:bCs/>
                <w:i/>
                <w:iCs/>
              </w:rPr>
              <w:t xml:space="preserve">IT to support </w:t>
            </w:r>
            <w:r w:rsidR="00204C51" w:rsidRPr="00204C51">
              <w:rPr>
                <w:b/>
                <w:bCs/>
                <w:i/>
                <w:iCs/>
              </w:rPr>
              <w:t>l</w:t>
            </w:r>
            <w:r w:rsidRPr="00204C51">
              <w:rPr>
                <w:b/>
                <w:bCs/>
                <w:i/>
                <w:iCs/>
              </w:rPr>
              <w:t>earning.</w:t>
            </w:r>
          </w:p>
          <w:p w14:paraId="3172EB18" w14:textId="77777777" w:rsidR="002029C1" w:rsidRDefault="00514D17">
            <w:r>
              <w:t>A new digital IT strategy person has been appointed by the MAT</w:t>
            </w:r>
            <w:r w:rsidR="00E674F4">
              <w:t>.</w:t>
            </w:r>
          </w:p>
          <w:p w14:paraId="2F65CCBB" w14:textId="77777777" w:rsidR="00E674F4" w:rsidRDefault="00E674F4">
            <w:r>
              <w:t>There are new interactive whiteboards in every classroom.</w:t>
            </w:r>
          </w:p>
          <w:p w14:paraId="7296C7A7" w14:textId="77777777" w:rsidR="00E674F4" w:rsidRDefault="00E674F4">
            <w:r>
              <w:t>Devices have been provided for all families who have had no access during the Covid pande</w:t>
            </w:r>
            <w:r w:rsidR="00147764">
              <w:t>mic.</w:t>
            </w:r>
          </w:p>
          <w:p w14:paraId="4B802031" w14:textId="6BCF7AD5" w:rsidR="00147764" w:rsidRDefault="00147764">
            <w:r>
              <w:t>Disadvantaged</w:t>
            </w:r>
            <w:r w:rsidR="00204C51">
              <w:t xml:space="preserve"> </w:t>
            </w:r>
            <w:r>
              <w:t>children were prioritised for the vulnerable/key worker groups who were taught in school during the lockdown</w:t>
            </w:r>
          </w:p>
          <w:p w14:paraId="2881C32B" w14:textId="77777777" w:rsidR="00CA0E3C" w:rsidRDefault="00CA0E3C">
            <w:r>
              <w:t>All staff have visualisers in their classrooms and training has been provided so that they are used effectively to enhance the learning taking place.</w:t>
            </w:r>
          </w:p>
          <w:p w14:paraId="62D7602C" w14:textId="77777777" w:rsidR="00187A7B" w:rsidRPr="00055702" w:rsidRDefault="00187A7B">
            <w:pPr>
              <w:rPr>
                <w:b/>
                <w:bCs/>
                <w:i/>
                <w:iCs/>
              </w:rPr>
            </w:pPr>
          </w:p>
          <w:p w14:paraId="6B478F37" w14:textId="77777777" w:rsidR="00187A7B" w:rsidRPr="00055702" w:rsidRDefault="00187A7B">
            <w:pPr>
              <w:rPr>
                <w:b/>
                <w:bCs/>
                <w:i/>
                <w:iCs/>
              </w:rPr>
            </w:pPr>
            <w:r w:rsidRPr="00055702">
              <w:rPr>
                <w:b/>
                <w:bCs/>
                <w:i/>
                <w:iCs/>
              </w:rPr>
              <w:t>Groups of learners who are underachieving are identified and support put in place.</w:t>
            </w:r>
          </w:p>
          <w:p w14:paraId="2C04F11C" w14:textId="182115D7" w:rsidR="00187A7B" w:rsidRDefault="008D7496">
            <w:r>
              <w:t>Headte</w:t>
            </w:r>
            <w:r w:rsidR="00055702">
              <w:t>a</w:t>
            </w:r>
            <w:r>
              <w:t xml:space="preserve">cher has run booster sessions in Year 6 </w:t>
            </w:r>
            <w:r w:rsidR="00E15186">
              <w:t>and</w:t>
            </w:r>
            <w:r>
              <w:t xml:space="preserve"> Year 5 </w:t>
            </w:r>
            <w:r w:rsidR="00DC0BE3">
              <w:t>Mathematics</w:t>
            </w:r>
            <w:r w:rsidR="00E15186">
              <w:t xml:space="preserve"> sessions</w:t>
            </w:r>
            <w:r w:rsidR="00DC0BE3">
              <w:t>.</w:t>
            </w:r>
          </w:p>
          <w:p w14:paraId="7C6B4859" w14:textId="77777777" w:rsidR="00DC0BE3" w:rsidRDefault="00DC0BE3">
            <w:r>
              <w:t xml:space="preserve">Transition document for secondary schools was completed and </w:t>
            </w:r>
            <w:r w:rsidR="000E3F12">
              <w:t>vulnerable children identified and given extra support and provision during the transition period.</w:t>
            </w:r>
          </w:p>
          <w:p w14:paraId="11E19F39" w14:textId="477066F8" w:rsidR="007F12F6" w:rsidRDefault="007F12F6">
            <w:r>
              <w:t>All staff use the class trackers to identify children who need extra su</w:t>
            </w:r>
            <w:r w:rsidR="00055702">
              <w:t>p</w:t>
            </w:r>
            <w:r>
              <w:t>port.</w:t>
            </w:r>
            <w:r w:rsidR="004F7A80">
              <w:t xml:space="preserve"> Requests are made for interventions and the SENCO organises these and collates information on the progress made.</w:t>
            </w:r>
          </w:p>
          <w:p w14:paraId="3BE61656" w14:textId="2792D7E0" w:rsidR="004F7A80" w:rsidRDefault="00597E2F">
            <w:r>
              <w:t xml:space="preserve">PL’s meet weekly with the </w:t>
            </w:r>
            <w:r w:rsidR="00055702">
              <w:t>He</w:t>
            </w:r>
            <w:r>
              <w:t>adteacher to discuss progress of key pupils.</w:t>
            </w:r>
          </w:p>
          <w:p w14:paraId="6B402ADF" w14:textId="77777777" w:rsidR="007431E1" w:rsidRDefault="007431E1">
            <w:r>
              <w:t>Annual reviews take place to ensure EHCP target provision is being met.</w:t>
            </w:r>
          </w:p>
          <w:p w14:paraId="0077D0EC" w14:textId="77777777" w:rsidR="001A01DC" w:rsidRDefault="001A01DC">
            <w:r>
              <w:t>Termly pupil progress meetings with the PL and the Headteacher identify those who may require extra support.</w:t>
            </w:r>
          </w:p>
          <w:p w14:paraId="50049A09" w14:textId="77777777" w:rsidR="00757F82" w:rsidRDefault="00757F82">
            <w:r>
              <w:t xml:space="preserve">TA training sessions have been run both on </w:t>
            </w:r>
            <w:r w:rsidR="00055702">
              <w:t>I</w:t>
            </w:r>
            <w:r>
              <w:t>NSET days and</w:t>
            </w:r>
            <w:r w:rsidR="00055702">
              <w:t xml:space="preserve"> in school time.</w:t>
            </w:r>
          </w:p>
          <w:p w14:paraId="294B7E28" w14:textId="77777777" w:rsidR="00D82A48" w:rsidRDefault="00D82A48"/>
          <w:p w14:paraId="5BDFAC2A" w14:textId="77777777" w:rsidR="00D82A48" w:rsidRPr="00A2116B" w:rsidRDefault="00D82A48">
            <w:pPr>
              <w:rPr>
                <w:b/>
                <w:bCs/>
                <w:i/>
                <w:iCs/>
              </w:rPr>
            </w:pPr>
            <w:r w:rsidRPr="00A2116B">
              <w:rPr>
                <w:b/>
                <w:bCs/>
                <w:i/>
                <w:iCs/>
              </w:rPr>
              <w:t>Attendance.</w:t>
            </w:r>
          </w:p>
          <w:p w14:paraId="70D7A407" w14:textId="77777777" w:rsidR="00D82A48" w:rsidRDefault="00D82A48">
            <w:r>
              <w:t xml:space="preserve">The engagement of disadvantaged </w:t>
            </w:r>
            <w:r w:rsidR="00E934CA">
              <w:t>pupils was specifically tracked during the pandemic and lockdowns.</w:t>
            </w:r>
          </w:p>
          <w:p w14:paraId="29BC383D" w14:textId="2078CBFC" w:rsidR="00E934CA" w:rsidRDefault="00E934CA">
            <w:r>
              <w:t>A new attendance system has been introduced</w:t>
            </w:r>
            <w:r w:rsidR="00B70952">
              <w:t xml:space="preserve"> with weekly/fortnightly monitoring, a more robust </w:t>
            </w:r>
            <w:r w:rsidR="00AE7577">
              <w:t>set of communication with parents and more input from the EWS.</w:t>
            </w:r>
            <w:r w:rsidR="00862D71">
              <w:t xml:space="preserve"> </w:t>
            </w:r>
            <w:r w:rsidR="00862D71">
              <w:lastRenderedPageBreak/>
              <w:t>Meetings take place to encourage parents</w:t>
            </w:r>
            <w:r w:rsidR="000427ED">
              <w:t xml:space="preserve"> to support their child by ensuring that their attendance is over 95%</w:t>
            </w:r>
          </w:p>
          <w:p w14:paraId="6CE2897C" w14:textId="30B4C680" w:rsidR="006A7D44" w:rsidRDefault="006A7D44">
            <w:r>
              <w:t>Attendance information is communicated to staff via regular staff</w:t>
            </w:r>
            <w:r w:rsidR="007029CD">
              <w:t xml:space="preserve"> meetings.</w:t>
            </w:r>
          </w:p>
          <w:p w14:paraId="214FE437" w14:textId="77777777" w:rsidR="00A2116B" w:rsidRDefault="00862D71">
            <w:r>
              <w:t>General a</w:t>
            </w:r>
            <w:r w:rsidR="00A2116B">
              <w:t>ttendance information is communicated with parents on the monthly newsletters</w:t>
            </w:r>
            <w:r>
              <w:t>.</w:t>
            </w:r>
          </w:p>
          <w:p w14:paraId="504DFFFB" w14:textId="77777777" w:rsidR="007029CD" w:rsidRDefault="007029CD"/>
          <w:p w14:paraId="66A9BC08" w14:textId="77777777" w:rsidR="007029CD" w:rsidRPr="00D34173" w:rsidRDefault="007029CD">
            <w:pPr>
              <w:rPr>
                <w:b/>
                <w:bCs/>
                <w:i/>
                <w:iCs/>
              </w:rPr>
            </w:pPr>
            <w:r w:rsidRPr="00D34173">
              <w:rPr>
                <w:b/>
                <w:bCs/>
                <w:i/>
                <w:iCs/>
              </w:rPr>
              <w:t>The development of writing.</w:t>
            </w:r>
          </w:p>
          <w:p w14:paraId="2F812852" w14:textId="3EBB8021" w:rsidR="003F28F5" w:rsidRDefault="00965405">
            <w:r>
              <w:t xml:space="preserve">Mapping of the writing journey </w:t>
            </w:r>
            <w:r w:rsidR="001779B9">
              <w:t>has taken place to ensure high quality writing for all children.</w:t>
            </w:r>
            <w:r w:rsidR="00901A7F">
              <w:t xml:space="preserve"> </w:t>
            </w:r>
          </w:p>
          <w:p w14:paraId="2D14A6D0" w14:textId="5A217994" w:rsidR="009633A2" w:rsidRDefault="009633A2" w:rsidP="009633A2">
            <w:pPr>
              <w:pStyle w:val="ListParagraph"/>
              <w:numPr>
                <w:ilvl w:val="0"/>
                <w:numId w:val="19"/>
              </w:numPr>
            </w:pPr>
            <w:r>
              <w:t>94% of pupils say in the pupil survey that they enjoy writing.</w:t>
            </w:r>
          </w:p>
          <w:p w14:paraId="3DCB2AE8" w14:textId="57134E6A" w:rsidR="00CE622B" w:rsidRDefault="00CE622B" w:rsidP="00CE622B">
            <w:r>
              <w:t xml:space="preserve">Writing moderation reports demonstrate evidence of the writing journey from the planning stage to the final published piece.  Finished pieces are displayed and the </w:t>
            </w:r>
            <w:r w:rsidR="00604A2F">
              <w:t>children’s</w:t>
            </w:r>
            <w:r>
              <w:t xml:space="preserve"> work is celebrated in class and </w:t>
            </w:r>
            <w:r w:rsidR="00604A2F">
              <w:t>for parents who visit to see the outcomes.</w:t>
            </w:r>
          </w:p>
          <w:p w14:paraId="46ED1EEE" w14:textId="0C4340C9" w:rsidR="00D34173" w:rsidRDefault="00992076">
            <w:r>
              <w:t>There have n</w:t>
            </w:r>
            <w:r w:rsidR="00D34173">
              <w:t>e</w:t>
            </w:r>
            <w:r>
              <w:t xml:space="preserve">w been two full </w:t>
            </w:r>
            <w:r w:rsidR="0060090E">
              <w:t>writing moderations completed across all year groups.</w:t>
            </w:r>
          </w:p>
          <w:p w14:paraId="52B50968" w14:textId="77777777" w:rsidR="00992076" w:rsidRDefault="0060090E">
            <w:r>
              <w:t>A new management structure has been introduced</w:t>
            </w:r>
            <w:r w:rsidR="00D34173">
              <w:t xml:space="preserve"> for 2021-22with writing leads in each key stage.</w:t>
            </w:r>
          </w:p>
          <w:p w14:paraId="57329BA4" w14:textId="77777777" w:rsidR="00682C7E" w:rsidRDefault="00682C7E">
            <w:r>
              <w:t>The 7</w:t>
            </w:r>
            <w:r w:rsidR="009633A2">
              <w:t>-</w:t>
            </w:r>
            <w:r>
              <w:t>step model has been a SIP focus and has been evaluated by all whole school reviews.</w:t>
            </w:r>
          </w:p>
          <w:p w14:paraId="7E3664BB" w14:textId="77777777" w:rsidR="004450B1" w:rsidRDefault="004450B1"/>
          <w:p w14:paraId="2A1F32A5" w14:textId="77777777" w:rsidR="004450B1" w:rsidRPr="009211A2" w:rsidRDefault="004450B1">
            <w:pPr>
              <w:rPr>
                <w:b/>
                <w:bCs/>
                <w:i/>
                <w:iCs/>
              </w:rPr>
            </w:pPr>
            <w:r w:rsidRPr="009211A2">
              <w:rPr>
                <w:b/>
                <w:bCs/>
                <w:i/>
                <w:iCs/>
              </w:rPr>
              <w:t>Further improve the teaching of Maths.</w:t>
            </w:r>
          </w:p>
          <w:p w14:paraId="5FA11283" w14:textId="759DD582" w:rsidR="009211A2" w:rsidRDefault="009211A2" w:rsidP="00117DFF">
            <w:proofErr w:type="gramStart"/>
            <w:r>
              <w:t>Maths</w:t>
            </w:r>
            <w:proofErr w:type="gramEnd"/>
            <w:r>
              <w:t xml:space="preserve"> teaching was impacted by the wider closing of schools due to the Covid 19 restrictions.</w:t>
            </w:r>
          </w:p>
          <w:p w14:paraId="293A668C" w14:textId="2259871C" w:rsidR="00117DFF" w:rsidRDefault="00835364" w:rsidP="00117DFF">
            <w:r>
              <w:t>Upon return, all year groups completed analysis</w:t>
            </w:r>
            <w:r w:rsidR="00490AB1">
              <w:t xml:space="preserve"> of ready to progress criteria from current and previous NC year to RAG how key curriculum </w:t>
            </w:r>
            <w:r w:rsidR="00EC7F37">
              <w:t xml:space="preserve">objectives are retained using the NCETM Prioritisation </w:t>
            </w:r>
            <w:r w:rsidR="00D11163">
              <w:t>materials.</w:t>
            </w:r>
            <w:r w:rsidR="00117DFF">
              <w:t xml:space="preserve"> </w:t>
            </w:r>
          </w:p>
          <w:p w14:paraId="47C194EF" w14:textId="33183087" w:rsidR="00117DFF" w:rsidRDefault="00117DFF" w:rsidP="00117DFF">
            <w:r>
              <w:t xml:space="preserve">Number sense was piloted in the summer of 2021 and is now set up for 2021-22 in years 1-4 </w:t>
            </w:r>
            <w:r w:rsidR="00E15186">
              <w:t>to</w:t>
            </w:r>
            <w:r>
              <w:t xml:space="preserve"> improve Mathematical fluency. </w:t>
            </w:r>
          </w:p>
          <w:p w14:paraId="584316D3" w14:textId="23F34C44" w:rsidR="00117DFF" w:rsidRDefault="00117DFF" w:rsidP="00117DFF">
            <w:r>
              <w:t>A new management structure has been set up for 2021-22 with a whole school Maths Lead.</w:t>
            </w:r>
          </w:p>
          <w:p w14:paraId="75A59935" w14:textId="53CD0EB8" w:rsidR="001C3006" w:rsidRDefault="001C3006" w:rsidP="00117DFF">
            <w:r>
              <w:lastRenderedPageBreak/>
              <w:t xml:space="preserve">The Headteacher has provided booster sessions in year 6 and year 5 </w:t>
            </w:r>
            <w:r w:rsidR="00FD2A77">
              <w:t>which has created smaller class sizes in remaining Maths sets.</w:t>
            </w:r>
          </w:p>
          <w:p w14:paraId="2A7D5546" w14:textId="2DCA020B" w:rsidR="00117DFF" w:rsidRDefault="00117DFF"/>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5"/>
      <w:footerReference w:type="default" r:id="rId2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FA38" w14:textId="77777777" w:rsidR="00217F58" w:rsidRDefault="00217F58">
      <w:pPr>
        <w:spacing w:after="0" w:line="240" w:lineRule="auto"/>
      </w:pPr>
      <w:r>
        <w:separator/>
      </w:r>
    </w:p>
  </w:endnote>
  <w:endnote w:type="continuationSeparator" w:id="0">
    <w:p w14:paraId="22EF7F4D" w14:textId="77777777" w:rsidR="00217F58" w:rsidRDefault="0021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E41D" w14:textId="77777777" w:rsidR="00217F58" w:rsidRDefault="00217F58">
      <w:pPr>
        <w:spacing w:after="0" w:line="240" w:lineRule="auto"/>
      </w:pPr>
      <w:r>
        <w:separator/>
      </w:r>
    </w:p>
  </w:footnote>
  <w:footnote w:type="continuationSeparator" w:id="0">
    <w:p w14:paraId="3FABF7C2" w14:textId="77777777" w:rsidR="00217F58" w:rsidRDefault="0021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217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AFF"/>
    <w:multiLevelType w:val="hybridMultilevel"/>
    <w:tmpl w:val="D93A2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D6F79"/>
    <w:multiLevelType w:val="hybridMultilevel"/>
    <w:tmpl w:val="84A4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3893221"/>
    <w:multiLevelType w:val="hybridMultilevel"/>
    <w:tmpl w:val="A776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16E18"/>
    <w:multiLevelType w:val="hybridMultilevel"/>
    <w:tmpl w:val="D812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81EDA"/>
    <w:multiLevelType w:val="hybridMultilevel"/>
    <w:tmpl w:val="9DF4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1E080F"/>
    <w:multiLevelType w:val="hybridMultilevel"/>
    <w:tmpl w:val="C096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8ED7638"/>
    <w:multiLevelType w:val="hybridMultilevel"/>
    <w:tmpl w:val="2446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8"/>
  </w:num>
  <w:num w:numId="7">
    <w:abstractNumId w:val="14"/>
  </w:num>
  <w:num w:numId="8">
    <w:abstractNumId w:val="18"/>
  </w:num>
  <w:num w:numId="9">
    <w:abstractNumId w:val="16"/>
  </w:num>
  <w:num w:numId="10">
    <w:abstractNumId w:val="15"/>
  </w:num>
  <w:num w:numId="11">
    <w:abstractNumId w:val="4"/>
  </w:num>
  <w:num w:numId="12">
    <w:abstractNumId w:val="17"/>
  </w:num>
  <w:num w:numId="13">
    <w:abstractNumId w:val="12"/>
  </w:num>
  <w:num w:numId="14">
    <w:abstractNumId w:val="19"/>
  </w:num>
  <w:num w:numId="15">
    <w:abstractNumId w:val="11"/>
  </w:num>
  <w:num w:numId="16">
    <w:abstractNumId w:val="1"/>
  </w:num>
  <w:num w:numId="17">
    <w:abstractNumId w:val="0"/>
  </w:num>
  <w:num w:numId="18">
    <w:abstractNumId w:val="9"/>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58D8"/>
    <w:rsid w:val="00011B51"/>
    <w:rsid w:val="00015EAB"/>
    <w:rsid w:val="000427ED"/>
    <w:rsid w:val="000526AB"/>
    <w:rsid w:val="00055702"/>
    <w:rsid w:val="00057326"/>
    <w:rsid w:val="0006142B"/>
    <w:rsid w:val="00066B73"/>
    <w:rsid w:val="00073DB0"/>
    <w:rsid w:val="000A4D43"/>
    <w:rsid w:val="000D1706"/>
    <w:rsid w:val="000D7AD1"/>
    <w:rsid w:val="000E3F12"/>
    <w:rsid w:val="000E7475"/>
    <w:rsid w:val="0010230A"/>
    <w:rsid w:val="00106462"/>
    <w:rsid w:val="00117DFF"/>
    <w:rsid w:val="00120532"/>
    <w:rsid w:val="00120AB1"/>
    <w:rsid w:val="0012259C"/>
    <w:rsid w:val="00123709"/>
    <w:rsid w:val="00137D21"/>
    <w:rsid w:val="00147764"/>
    <w:rsid w:val="0015073D"/>
    <w:rsid w:val="00172C2A"/>
    <w:rsid w:val="00173F78"/>
    <w:rsid w:val="001779B9"/>
    <w:rsid w:val="00187A7B"/>
    <w:rsid w:val="0019463F"/>
    <w:rsid w:val="001A01DC"/>
    <w:rsid w:val="001A1D7C"/>
    <w:rsid w:val="001A3388"/>
    <w:rsid w:val="001A79BB"/>
    <w:rsid w:val="001B06E2"/>
    <w:rsid w:val="001B32AC"/>
    <w:rsid w:val="001B40B5"/>
    <w:rsid w:val="001B4908"/>
    <w:rsid w:val="001B7217"/>
    <w:rsid w:val="001C3006"/>
    <w:rsid w:val="001D249D"/>
    <w:rsid w:val="001F6608"/>
    <w:rsid w:val="0020003F"/>
    <w:rsid w:val="002029C1"/>
    <w:rsid w:val="00202AA3"/>
    <w:rsid w:val="00204C51"/>
    <w:rsid w:val="0021097D"/>
    <w:rsid w:val="00213139"/>
    <w:rsid w:val="002142A1"/>
    <w:rsid w:val="00217F58"/>
    <w:rsid w:val="002364D5"/>
    <w:rsid w:val="002373BD"/>
    <w:rsid w:val="00241F1F"/>
    <w:rsid w:val="00257EB9"/>
    <w:rsid w:val="00266A54"/>
    <w:rsid w:val="00266D92"/>
    <w:rsid w:val="00270F69"/>
    <w:rsid w:val="002808F2"/>
    <w:rsid w:val="00282366"/>
    <w:rsid w:val="00290500"/>
    <w:rsid w:val="002C0AAE"/>
    <w:rsid w:val="002D2D68"/>
    <w:rsid w:val="002E06C9"/>
    <w:rsid w:val="002E376D"/>
    <w:rsid w:val="002F0025"/>
    <w:rsid w:val="002F4322"/>
    <w:rsid w:val="00300E35"/>
    <w:rsid w:val="00304041"/>
    <w:rsid w:val="00312A4D"/>
    <w:rsid w:val="003155A6"/>
    <w:rsid w:val="00320764"/>
    <w:rsid w:val="003452F5"/>
    <w:rsid w:val="003463B7"/>
    <w:rsid w:val="00350189"/>
    <w:rsid w:val="00365346"/>
    <w:rsid w:val="00381838"/>
    <w:rsid w:val="00382558"/>
    <w:rsid w:val="003844A9"/>
    <w:rsid w:val="003851C8"/>
    <w:rsid w:val="00395565"/>
    <w:rsid w:val="00396B8E"/>
    <w:rsid w:val="003A0F5D"/>
    <w:rsid w:val="003A70C9"/>
    <w:rsid w:val="003B214C"/>
    <w:rsid w:val="003B3CFC"/>
    <w:rsid w:val="003D2D34"/>
    <w:rsid w:val="003E7219"/>
    <w:rsid w:val="003F0506"/>
    <w:rsid w:val="003F28F5"/>
    <w:rsid w:val="004044AA"/>
    <w:rsid w:val="00404C2D"/>
    <w:rsid w:val="00405A2C"/>
    <w:rsid w:val="00412300"/>
    <w:rsid w:val="0043511D"/>
    <w:rsid w:val="004450B1"/>
    <w:rsid w:val="00447117"/>
    <w:rsid w:val="00455E18"/>
    <w:rsid w:val="00460FBF"/>
    <w:rsid w:val="00466C5D"/>
    <w:rsid w:val="00466E19"/>
    <w:rsid w:val="0047070F"/>
    <w:rsid w:val="00471AED"/>
    <w:rsid w:val="0048347E"/>
    <w:rsid w:val="0048565E"/>
    <w:rsid w:val="00490AB1"/>
    <w:rsid w:val="0049742F"/>
    <w:rsid w:val="004C6B32"/>
    <w:rsid w:val="004C73FF"/>
    <w:rsid w:val="004D7CF7"/>
    <w:rsid w:val="004E5A74"/>
    <w:rsid w:val="004F4145"/>
    <w:rsid w:val="004F7A80"/>
    <w:rsid w:val="00505CAD"/>
    <w:rsid w:val="00514D17"/>
    <w:rsid w:val="00525249"/>
    <w:rsid w:val="005278CE"/>
    <w:rsid w:val="00531003"/>
    <w:rsid w:val="005421AD"/>
    <w:rsid w:val="00546E4B"/>
    <w:rsid w:val="00561447"/>
    <w:rsid w:val="00562BA9"/>
    <w:rsid w:val="00572FC3"/>
    <w:rsid w:val="0058593B"/>
    <w:rsid w:val="00587CCA"/>
    <w:rsid w:val="00593FEC"/>
    <w:rsid w:val="00597E2F"/>
    <w:rsid w:val="005C0448"/>
    <w:rsid w:val="005C48E0"/>
    <w:rsid w:val="005D467F"/>
    <w:rsid w:val="005E1C86"/>
    <w:rsid w:val="005F0BD3"/>
    <w:rsid w:val="005F46E0"/>
    <w:rsid w:val="005F5AEF"/>
    <w:rsid w:val="0060090E"/>
    <w:rsid w:val="00604A2F"/>
    <w:rsid w:val="00616A6B"/>
    <w:rsid w:val="00634139"/>
    <w:rsid w:val="00635D2E"/>
    <w:rsid w:val="0065463E"/>
    <w:rsid w:val="0067495D"/>
    <w:rsid w:val="00680FF9"/>
    <w:rsid w:val="00682C7E"/>
    <w:rsid w:val="00685489"/>
    <w:rsid w:val="00694AD5"/>
    <w:rsid w:val="006A593B"/>
    <w:rsid w:val="006A7B2C"/>
    <w:rsid w:val="006A7D44"/>
    <w:rsid w:val="006C0B72"/>
    <w:rsid w:val="006E1FFC"/>
    <w:rsid w:val="006E7E8B"/>
    <w:rsid w:val="006E7FB1"/>
    <w:rsid w:val="006F511D"/>
    <w:rsid w:val="00700647"/>
    <w:rsid w:val="007029CD"/>
    <w:rsid w:val="00720EEA"/>
    <w:rsid w:val="00741B9E"/>
    <w:rsid w:val="007431E1"/>
    <w:rsid w:val="00747A03"/>
    <w:rsid w:val="00750B2F"/>
    <w:rsid w:val="00752172"/>
    <w:rsid w:val="00754E0C"/>
    <w:rsid w:val="00757F82"/>
    <w:rsid w:val="00762DCB"/>
    <w:rsid w:val="00767887"/>
    <w:rsid w:val="0077415D"/>
    <w:rsid w:val="00775492"/>
    <w:rsid w:val="0077609A"/>
    <w:rsid w:val="007837E0"/>
    <w:rsid w:val="00787667"/>
    <w:rsid w:val="007930DC"/>
    <w:rsid w:val="00797D80"/>
    <w:rsid w:val="007A20AA"/>
    <w:rsid w:val="007B44DD"/>
    <w:rsid w:val="007C2F04"/>
    <w:rsid w:val="007D653F"/>
    <w:rsid w:val="007E0A31"/>
    <w:rsid w:val="007E3D1C"/>
    <w:rsid w:val="007F12F6"/>
    <w:rsid w:val="00801199"/>
    <w:rsid w:val="00804E25"/>
    <w:rsid w:val="0080566B"/>
    <w:rsid w:val="00811282"/>
    <w:rsid w:val="00811EBA"/>
    <w:rsid w:val="00812F30"/>
    <w:rsid w:val="0083354E"/>
    <w:rsid w:val="00835364"/>
    <w:rsid w:val="00837413"/>
    <w:rsid w:val="0084220B"/>
    <w:rsid w:val="0084328E"/>
    <w:rsid w:val="00843318"/>
    <w:rsid w:val="0084406B"/>
    <w:rsid w:val="00853630"/>
    <w:rsid w:val="00853DA2"/>
    <w:rsid w:val="00857765"/>
    <w:rsid w:val="00862D71"/>
    <w:rsid w:val="00872E9C"/>
    <w:rsid w:val="00876118"/>
    <w:rsid w:val="008842BF"/>
    <w:rsid w:val="00890A76"/>
    <w:rsid w:val="00895512"/>
    <w:rsid w:val="00896A57"/>
    <w:rsid w:val="008A7F16"/>
    <w:rsid w:val="008B1C60"/>
    <w:rsid w:val="008C0DE3"/>
    <w:rsid w:val="008C214A"/>
    <w:rsid w:val="008D7496"/>
    <w:rsid w:val="008E167A"/>
    <w:rsid w:val="008E6566"/>
    <w:rsid w:val="008F3F7C"/>
    <w:rsid w:val="00901A7F"/>
    <w:rsid w:val="0090234D"/>
    <w:rsid w:val="009052B4"/>
    <w:rsid w:val="00912A77"/>
    <w:rsid w:val="009211A2"/>
    <w:rsid w:val="009302BD"/>
    <w:rsid w:val="0093075D"/>
    <w:rsid w:val="009438E7"/>
    <w:rsid w:val="00943AB0"/>
    <w:rsid w:val="00945E09"/>
    <w:rsid w:val="009629D6"/>
    <w:rsid w:val="009633A2"/>
    <w:rsid w:val="00965405"/>
    <w:rsid w:val="009726F7"/>
    <w:rsid w:val="00974F8A"/>
    <w:rsid w:val="0097626D"/>
    <w:rsid w:val="00992076"/>
    <w:rsid w:val="00992CF8"/>
    <w:rsid w:val="009932D8"/>
    <w:rsid w:val="009951E0"/>
    <w:rsid w:val="009A7105"/>
    <w:rsid w:val="009B32A6"/>
    <w:rsid w:val="009C417C"/>
    <w:rsid w:val="009D71E8"/>
    <w:rsid w:val="00A06BF6"/>
    <w:rsid w:val="00A110B3"/>
    <w:rsid w:val="00A112B4"/>
    <w:rsid w:val="00A2116B"/>
    <w:rsid w:val="00A26DDE"/>
    <w:rsid w:val="00A26E0C"/>
    <w:rsid w:val="00A35F9B"/>
    <w:rsid w:val="00A4631E"/>
    <w:rsid w:val="00A466A5"/>
    <w:rsid w:val="00A51275"/>
    <w:rsid w:val="00A51943"/>
    <w:rsid w:val="00A5651F"/>
    <w:rsid w:val="00A725D7"/>
    <w:rsid w:val="00A82076"/>
    <w:rsid w:val="00A90B58"/>
    <w:rsid w:val="00A930DD"/>
    <w:rsid w:val="00A94E89"/>
    <w:rsid w:val="00A96E43"/>
    <w:rsid w:val="00AB1784"/>
    <w:rsid w:val="00AB62BC"/>
    <w:rsid w:val="00AD32FF"/>
    <w:rsid w:val="00AE225D"/>
    <w:rsid w:val="00AE24B8"/>
    <w:rsid w:val="00AE662A"/>
    <w:rsid w:val="00AE7577"/>
    <w:rsid w:val="00AF03B6"/>
    <w:rsid w:val="00AF4DF0"/>
    <w:rsid w:val="00B00104"/>
    <w:rsid w:val="00B04FD9"/>
    <w:rsid w:val="00B30405"/>
    <w:rsid w:val="00B377EF"/>
    <w:rsid w:val="00B4263A"/>
    <w:rsid w:val="00B45B6A"/>
    <w:rsid w:val="00B56454"/>
    <w:rsid w:val="00B64AED"/>
    <w:rsid w:val="00B70952"/>
    <w:rsid w:val="00BA05C3"/>
    <w:rsid w:val="00BC4807"/>
    <w:rsid w:val="00BC5A62"/>
    <w:rsid w:val="00BC6D43"/>
    <w:rsid w:val="00BE6FEA"/>
    <w:rsid w:val="00BE7305"/>
    <w:rsid w:val="00BF3D9D"/>
    <w:rsid w:val="00C573E5"/>
    <w:rsid w:val="00C6464D"/>
    <w:rsid w:val="00C9225A"/>
    <w:rsid w:val="00CA0E3C"/>
    <w:rsid w:val="00CA1732"/>
    <w:rsid w:val="00CB06DD"/>
    <w:rsid w:val="00CB4003"/>
    <w:rsid w:val="00CC2458"/>
    <w:rsid w:val="00CE0697"/>
    <w:rsid w:val="00CE622B"/>
    <w:rsid w:val="00D0171F"/>
    <w:rsid w:val="00D03395"/>
    <w:rsid w:val="00D11163"/>
    <w:rsid w:val="00D14350"/>
    <w:rsid w:val="00D22DEC"/>
    <w:rsid w:val="00D33FE5"/>
    <w:rsid w:val="00D34173"/>
    <w:rsid w:val="00D428BD"/>
    <w:rsid w:val="00D52485"/>
    <w:rsid w:val="00D55F99"/>
    <w:rsid w:val="00D618F5"/>
    <w:rsid w:val="00D81CD0"/>
    <w:rsid w:val="00D82A48"/>
    <w:rsid w:val="00D86856"/>
    <w:rsid w:val="00DA524D"/>
    <w:rsid w:val="00DC0BE3"/>
    <w:rsid w:val="00DD0E5B"/>
    <w:rsid w:val="00DD51DA"/>
    <w:rsid w:val="00DF2C3E"/>
    <w:rsid w:val="00E04504"/>
    <w:rsid w:val="00E0541B"/>
    <w:rsid w:val="00E12ECE"/>
    <w:rsid w:val="00E13A78"/>
    <w:rsid w:val="00E15186"/>
    <w:rsid w:val="00E15F0B"/>
    <w:rsid w:val="00E16129"/>
    <w:rsid w:val="00E16F3E"/>
    <w:rsid w:val="00E1786C"/>
    <w:rsid w:val="00E331EF"/>
    <w:rsid w:val="00E37986"/>
    <w:rsid w:val="00E406E8"/>
    <w:rsid w:val="00E419E8"/>
    <w:rsid w:val="00E603DB"/>
    <w:rsid w:val="00E61B9F"/>
    <w:rsid w:val="00E66558"/>
    <w:rsid w:val="00E674F4"/>
    <w:rsid w:val="00E6750C"/>
    <w:rsid w:val="00E70E93"/>
    <w:rsid w:val="00E729DD"/>
    <w:rsid w:val="00E901B0"/>
    <w:rsid w:val="00E90B21"/>
    <w:rsid w:val="00E934CA"/>
    <w:rsid w:val="00E94EBC"/>
    <w:rsid w:val="00EA2255"/>
    <w:rsid w:val="00EA3B08"/>
    <w:rsid w:val="00EC3C17"/>
    <w:rsid w:val="00EC7F37"/>
    <w:rsid w:val="00ED2954"/>
    <w:rsid w:val="00ED76FC"/>
    <w:rsid w:val="00EE1933"/>
    <w:rsid w:val="00EF4A14"/>
    <w:rsid w:val="00F149AC"/>
    <w:rsid w:val="00F3474A"/>
    <w:rsid w:val="00F5105E"/>
    <w:rsid w:val="00F5318C"/>
    <w:rsid w:val="00F5514F"/>
    <w:rsid w:val="00F60A0F"/>
    <w:rsid w:val="00F64E39"/>
    <w:rsid w:val="00F71227"/>
    <w:rsid w:val="00F743DB"/>
    <w:rsid w:val="00F7531B"/>
    <w:rsid w:val="00F832C4"/>
    <w:rsid w:val="00F9501A"/>
    <w:rsid w:val="00FC4C64"/>
    <w:rsid w:val="00FD2A77"/>
    <w:rsid w:val="00FF0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38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maths-ks-2-3" TargetMode="External"/><Relationship Id="rId13" Type="http://schemas.openxmlformats.org/officeDocument/2006/relationships/hyperlink" Target="https://educationendowmentfoundation.org.uk/education-evidence/teaching-learning-toolkit/teaching-assistant-interventions" TargetMode="External"/><Relationship Id="rId18" Type="http://schemas.openxmlformats.org/officeDocument/2006/relationships/hyperlink" Target="https://educationendowmentfoundation.org.uk/education-evidence/teaching-learning-toolkit/reading-comprehension-strategi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ducationendowmentfoundation.org.uk/projects-and-evaluation/projects/nuffield-early-language-intervention" TargetMode="External"/><Relationship Id="rId7" Type="http://schemas.openxmlformats.org/officeDocument/2006/relationships/hyperlink" Target="https://educationendowmentfoundation.org.uk/education-evidence/guidance-reports/early-maths" TargetMode="External"/><Relationship Id="rId12" Type="http://schemas.openxmlformats.org/officeDocument/2006/relationships/hyperlink" Target="https://educationendowmentfoundation.org.uk/news/new-eef-guidance-report-making-best-use-of-teaching-assistants" TargetMode="External"/><Relationship Id="rId17" Type="http://schemas.openxmlformats.org/officeDocument/2006/relationships/hyperlink" Target="https://www.gov.uk/government/publications/the-reading-framework-teaching-the-foundations-of-literac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education-evidence/guidance-reports/literacy-ks2" TargetMode="External"/><Relationship Id="rId20" Type="http://schemas.openxmlformats.org/officeDocument/2006/relationships/hyperlink" Target="https://educationendowmentfoundation.org.uk/education-evidence/teaching-learning-toolkit/small-group-tu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send" TargetMode="External"/><Relationship Id="rId24"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literacy-ks-1" TargetMode="External"/><Relationship Id="rId23" Type="http://schemas.openxmlformats.org/officeDocument/2006/relationships/hyperlink" Target="https://educationendowmentfoundation.org.uk/public/files/Publications/SEL/EEF_Social_and_Emotional_Learning.pdf" TargetMode="External"/><Relationship Id="rId28" Type="http://schemas.openxmlformats.org/officeDocument/2006/relationships/theme" Target="theme/theme1.xml"/><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hyperlink" Target="https://educationendowmentfoundation.org.uk/education-evidence/teaching-learning-toolkit/phonics" TargetMode="External"/><Relationship Id="rId4" Type="http://schemas.openxmlformats.org/officeDocument/2006/relationships/webSettings" Target="webSettings.xml"/><Relationship Id="rId9" Type="http://schemas.openxmlformats.org/officeDocument/2006/relationships/hyperlink" Target="https://educationendowmentfoundation.org.uk/projects-and-evaluation/projects/nuffield-early-language-intervention" TargetMode="External"/><Relationship Id="rId14" Type="http://schemas.openxmlformats.org/officeDocument/2006/relationships/hyperlink" Target="https://educationendowmentfoundation.org.uk/education-evidence/guidance-reports/literacy-early-years" TargetMode="External"/><Relationship Id="rId22" Type="http://schemas.openxmlformats.org/officeDocument/2006/relationships/hyperlink" Target="https://educationendowmentfoundation.org.uk/education-evidence/teaching-learning-toolkit/parental-engagem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5773</TotalTime>
  <Pages>13</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 Welch</cp:lastModifiedBy>
  <cp:revision>141</cp:revision>
  <cp:lastPrinted>2014-09-17T13:26:00Z</cp:lastPrinted>
  <dcterms:created xsi:type="dcterms:W3CDTF">2021-12-03T14:44:00Z</dcterms:created>
  <dcterms:modified xsi:type="dcterms:W3CDTF">2022-01-12T12:11:00Z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